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BA0C8" w14:textId="77777777" w:rsidR="005103B9" w:rsidRPr="006D4D9C" w:rsidRDefault="0023351A">
      <w:pPr>
        <w:pStyle w:val="TYTUAKTUprzedmiotregulacjiustawylubrozporzdzenia"/>
        <w:spacing w:after="0"/>
        <w:rPr>
          <w:rFonts w:ascii="Times New Roman" w:hAnsi="Times New Roman"/>
        </w:rPr>
      </w:pPr>
      <w:bookmarkStart w:id="0" w:name="_GoBack"/>
      <w:bookmarkEnd w:id="0"/>
      <w:r w:rsidRPr="006D4D9C">
        <w:rPr>
          <w:rFonts w:ascii="Times New Roman" w:hAnsi="Times New Roman"/>
        </w:rPr>
        <w:t>UZASADNIENIE</w:t>
      </w:r>
    </w:p>
    <w:p w14:paraId="334412CA" w14:textId="77777777" w:rsidR="005103B9" w:rsidRPr="006D4D9C" w:rsidRDefault="005103B9">
      <w:pPr>
        <w:pStyle w:val="ARTartustawynprozporzdzenia"/>
        <w:rPr>
          <w:rFonts w:ascii="Times New Roman" w:hAnsi="Times New Roman"/>
        </w:rPr>
      </w:pPr>
    </w:p>
    <w:p w14:paraId="5591AC11" w14:textId="77777777" w:rsidR="005103B9" w:rsidRPr="006D4D9C" w:rsidRDefault="0023351A">
      <w:pPr>
        <w:spacing w:after="120"/>
        <w:ind w:firstLine="142"/>
        <w:jc w:val="both"/>
        <w:rPr>
          <w:rFonts w:eastAsia="Times New Roman" w:cs="Times New Roman"/>
          <w:szCs w:val="24"/>
        </w:rPr>
      </w:pPr>
      <w:r w:rsidRPr="006D4D9C">
        <w:rPr>
          <w:rFonts w:eastAsia="Times New Roman" w:cs="Times New Roman"/>
          <w:szCs w:val="24"/>
        </w:rPr>
        <w:t>Projekt ustawy przewiduje wprowadzenie zmian w:</w:t>
      </w:r>
    </w:p>
    <w:p w14:paraId="5082FC77" w14:textId="77777777" w:rsidR="005103B9" w:rsidRPr="006D4D9C" w:rsidRDefault="0023351A">
      <w:pPr>
        <w:pStyle w:val="HTML-wstpniesformatowany"/>
        <w:numPr>
          <w:ilvl w:val="0"/>
          <w:numId w:val="1"/>
        </w:numPr>
        <w:spacing w:after="120" w:line="360" w:lineRule="auto"/>
        <w:ind w:left="426" w:hanging="284"/>
        <w:jc w:val="both"/>
        <w:rPr>
          <w:rFonts w:ascii="Times New Roman" w:hAnsi="Times New Roman" w:cs="Times New Roman"/>
          <w:bCs/>
          <w:sz w:val="24"/>
          <w:szCs w:val="24"/>
        </w:rPr>
      </w:pPr>
      <w:r w:rsidRPr="006D4D9C">
        <w:rPr>
          <w:rFonts w:ascii="Times New Roman" w:hAnsi="Times New Roman" w:cs="Times New Roman"/>
          <w:sz w:val="24"/>
          <w:szCs w:val="24"/>
        </w:rPr>
        <w:t>ustawie z dnia 5 lutego 2015 r. o płatnościach w ramach systemów wsparcia bezpośredniego (Dz. U. z 2020 r. poz. 1341) zwanej dalej „ustawą o płatnościach”,</w:t>
      </w:r>
    </w:p>
    <w:p w14:paraId="4C1C3779" w14:textId="77777777" w:rsidR="005103B9" w:rsidRPr="006D4D9C" w:rsidRDefault="0023351A">
      <w:pPr>
        <w:pStyle w:val="Akapitzlist"/>
        <w:numPr>
          <w:ilvl w:val="0"/>
          <w:numId w:val="1"/>
        </w:numPr>
        <w:spacing w:after="120" w:line="360" w:lineRule="auto"/>
        <w:ind w:left="426" w:hanging="284"/>
        <w:jc w:val="both"/>
        <w:rPr>
          <w:rFonts w:ascii="Times New Roman" w:eastAsia="Times New Roman" w:hAnsi="Times New Roman" w:cs="Times New Roman"/>
          <w:sz w:val="24"/>
          <w:szCs w:val="24"/>
        </w:rPr>
      </w:pPr>
      <w:r w:rsidRPr="006D4D9C">
        <w:rPr>
          <w:rFonts w:ascii="Times New Roman" w:hAnsi="Times New Roman" w:cs="Times New Roman"/>
          <w:sz w:val="24"/>
          <w:szCs w:val="24"/>
        </w:rPr>
        <w:t xml:space="preserve">ustawie </w:t>
      </w:r>
      <w:r w:rsidRPr="006D4D9C">
        <w:rPr>
          <w:rFonts w:ascii="Times New Roman" w:eastAsia="Times New Roman" w:hAnsi="Times New Roman" w:cs="Times New Roman"/>
          <w:sz w:val="24"/>
          <w:szCs w:val="24"/>
        </w:rPr>
        <w:t>z dnia 7 marca 2007 r. o wspieraniu rozwoju obszarów wiejskich z udziałem środków Europejskiego Funduszu Rolnego na rzecz Rozwoju Obszarów Wiejskich w ramach Programu Rozwoju Obszarów Wiejskich na lata 2007–2013 (Dz. U. z 2020 r. poz. 1371), zwanej dalej „ustawą o PROW 2007–2013”,</w:t>
      </w:r>
    </w:p>
    <w:p w14:paraId="7188F96A" w14:textId="77777777" w:rsidR="005103B9" w:rsidRPr="006D4D9C" w:rsidRDefault="0023351A">
      <w:pPr>
        <w:pStyle w:val="Akapitzlist"/>
        <w:numPr>
          <w:ilvl w:val="0"/>
          <w:numId w:val="1"/>
        </w:numPr>
        <w:spacing w:after="120" w:line="360" w:lineRule="auto"/>
        <w:ind w:left="426" w:hanging="284"/>
        <w:jc w:val="both"/>
        <w:rPr>
          <w:rFonts w:ascii="Times New Roman" w:eastAsia="Times New Roman" w:hAnsi="Times New Roman" w:cs="Times New Roman"/>
          <w:sz w:val="24"/>
          <w:szCs w:val="24"/>
        </w:rPr>
      </w:pPr>
      <w:r w:rsidRPr="006D4D9C">
        <w:rPr>
          <w:rFonts w:ascii="Times New Roman" w:eastAsia="Times New Roman" w:hAnsi="Times New Roman" w:cs="Times New Roman"/>
          <w:sz w:val="24"/>
          <w:szCs w:val="24"/>
        </w:rPr>
        <w:t xml:space="preserve">ustawie z dnia 20 lutego 2015 r. o wspieraniu rozwoju obszarów wiejskich z udziałem środków Europejskiego Funduszu Rolnego na rzecz Rozwoju Obszarów Wiejskich </w:t>
      </w:r>
      <w:r w:rsidR="007A76BC" w:rsidRPr="00D42CF3">
        <w:rPr>
          <w:rFonts w:ascii="Times New Roman" w:eastAsia="Times New Roman" w:hAnsi="Times New Roman" w:cs="Times New Roman"/>
          <w:sz w:val="24"/>
          <w:szCs w:val="24"/>
        </w:rPr>
        <w:br/>
      </w:r>
      <w:r w:rsidRPr="006D4D9C">
        <w:rPr>
          <w:rFonts w:ascii="Times New Roman" w:eastAsia="Times New Roman" w:hAnsi="Times New Roman" w:cs="Times New Roman"/>
          <w:sz w:val="24"/>
          <w:szCs w:val="24"/>
        </w:rPr>
        <w:t>w ramach Programu Rozwoju Obszarów Wiejskich na lata 2014–2020 (</w:t>
      </w:r>
      <w:r w:rsidRPr="006D4D9C">
        <w:rPr>
          <w:rFonts w:ascii="Times New Roman" w:hAnsi="Times New Roman" w:cs="Times New Roman"/>
          <w:sz w:val="24"/>
          <w:szCs w:val="24"/>
        </w:rPr>
        <w:t>Dz. U. z 2020 r. poz. 217, 300, 695 i 1440),</w:t>
      </w:r>
      <w:r w:rsidRPr="006D4D9C">
        <w:rPr>
          <w:rFonts w:ascii="Times New Roman" w:eastAsia="Times New Roman" w:hAnsi="Times New Roman" w:cs="Times New Roman"/>
          <w:sz w:val="24"/>
          <w:szCs w:val="24"/>
        </w:rPr>
        <w:t xml:space="preserve"> zwanej dalej „ustawą o PROW 2014–2020”.</w:t>
      </w:r>
    </w:p>
    <w:p w14:paraId="2ED55D42" w14:textId="77777777" w:rsidR="005103B9" w:rsidRPr="006D4D9C" w:rsidRDefault="0023351A">
      <w:pPr>
        <w:pStyle w:val="HTML-wstpniesformatowany"/>
        <w:spacing w:after="120" w:line="360" w:lineRule="auto"/>
        <w:jc w:val="both"/>
        <w:rPr>
          <w:rFonts w:cs="Times New Roman"/>
          <w:szCs w:val="24"/>
        </w:rPr>
      </w:pPr>
      <w:r w:rsidRPr="006D4D9C">
        <w:rPr>
          <w:rFonts w:ascii="Times New Roman" w:hAnsi="Times New Roman" w:cs="Times New Roman"/>
          <w:sz w:val="24"/>
          <w:szCs w:val="24"/>
        </w:rPr>
        <w:t>Istotą rozwiązań przewidzianych w projekcie jest:</w:t>
      </w:r>
    </w:p>
    <w:p w14:paraId="4A67694B" w14:textId="77777777" w:rsidR="005103B9" w:rsidRPr="006D4D9C" w:rsidRDefault="0023351A">
      <w:pPr>
        <w:pStyle w:val="HTML-wstpniesformatowany"/>
        <w:numPr>
          <w:ilvl w:val="0"/>
          <w:numId w:val="2"/>
        </w:numPr>
        <w:spacing w:after="120" w:line="360" w:lineRule="auto"/>
        <w:jc w:val="both"/>
        <w:rPr>
          <w:rFonts w:ascii="Times New Roman" w:hAnsi="Times New Roman" w:cs="Times New Roman"/>
          <w:sz w:val="24"/>
          <w:szCs w:val="24"/>
        </w:rPr>
      </w:pPr>
      <w:r w:rsidRPr="006D4D9C">
        <w:rPr>
          <w:rFonts w:ascii="Times New Roman" w:hAnsi="Times New Roman" w:cs="Times New Roman"/>
          <w:sz w:val="24"/>
          <w:szCs w:val="24"/>
        </w:rPr>
        <w:t xml:space="preserve">dostosowanie przepisów „ustawy o płatnościach” do przepisów UE tj. rozporządzenia wykonawczego Komisji (UE) …/… z dnia …. zmieniającego rozporządzenie wykonawcze (UE) nr 809/2014 w odniesieniu do niektórych obowiązków powiadamiania, kontroli na miejscu dotyczących wniosków o przyznanie pomocy </w:t>
      </w:r>
      <w:r w:rsidRPr="006D4D9C">
        <w:rPr>
          <w:rFonts w:ascii="Times New Roman" w:hAnsi="Times New Roman" w:cs="Times New Roman"/>
          <w:sz w:val="24"/>
          <w:szCs w:val="24"/>
        </w:rPr>
        <w:br/>
        <w:t>z tytułu zwierząt i wniosków o płatność w ramach środków wsparcia związanego ze zwierzętami oraz składania pojedynczego wniosku, wniosków o przyznanie pomocy lub wniosków o płatność;</w:t>
      </w:r>
    </w:p>
    <w:p w14:paraId="7C3F448C" w14:textId="77777777" w:rsidR="005103B9" w:rsidRPr="006D4D9C" w:rsidRDefault="0023351A">
      <w:pPr>
        <w:pStyle w:val="HTML-wstpniesformatowany"/>
        <w:numPr>
          <w:ilvl w:val="0"/>
          <w:numId w:val="2"/>
        </w:numPr>
        <w:spacing w:after="120" w:line="360" w:lineRule="auto"/>
        <w:jc w:val="both"/>
        <w:rPr>
          <w:rFonts w:ascii="Times New Roman" w:hAnsi="Times New Roman" w:cs="Times New Roman"/>
          <w:sz w:val="24"/>
          <w:szCs w:val="24"/>
        </w:rPr>
      </w:pPr>
      <w:r w:rsidRPr="006D4D9C">
        <w:rPr>
          <w:rFonts w:ascii="Times New Roman" w:eastAsia="Calibri" w:hAnsi="Times New Roman" w:cs="Times New Roman"/>
          <w:bCs/>
          <w:sz w:val="24"/>
          <w:szCs w:val="24"/>
        </w:rPr>
        <w:t xml:space="preserve">uwzględnienie w przepisach krajowych </w:t>
      </w:r>
      <w:r w:rsidRPr="006D4D9C">
        <w:rPr>
          <w:rFonts w:ascii="Times New Roman" w:hAnsi="Times New Roman" w:cs="Times New Roman"/>
          <w:color w:val="000000"/>
          <w:sz w:val="24"/>
          <w:szCs w:val="24"/>
        </w:rPr>
        <w:t xml:space="preserve">przepisów w zakresie możliwości wykorzystania tzw. </w:t>
      </w:r>
      <w:r w:rsidRPr="006D4D9C">
        <w:rPr>
          <w:rFonts w:ascii="Times New Roman" w:hAnsi="Times New Roman" w:cs="Times New Roman"/>
          <w:color w:val="000000"/>
          <w:sz w:val="24"/>
          <w:szCs w:val="24"/>
          <w:lang w:eastAsia="en-US"/>
        </w:rPr>
        <w:t xml:space="preserve">zdjęcia </w:t>
      </w:r>
      <w:proofErr w:type="spellStart"/>
      <w:r w:rsidRPr="006D4D9C">
        <w:rPr>
          <w:rFonts w:ascii="Times New Roman" w:hAnsi="Times New Roman" w:cs="Times New Roman"/>
          <w:color w:val="000000"/>
          <w:sz w:val="24"/>
          <w:szCs w:val="24"/>
          <w:lang w:eastAsia="en-US"/>
        </w:rPr>
        <w:t>geotagowanego</w:t>
      </w:r>
      <w:proofErr w:type="spellEnd"/>
      <w:r w:rsidRPr="006D4D9C">
        <w:rPr>
          <w:rFonts w:ascii="Times New Roman" w:hAnsi="Times New Roman" w:cs="Times New Roman"/>
          <w:color w:val="000000"/>
          <w:sz w:val="24"/>
          <w:szCs w:val="24"/>
          <w:lang w:eastAsia="en-US"/>
        </w:rPr>
        <w:t xml:space="preserve"> w prowadzonych postępowaniach </w:t>
      </w:r>
      <w:r w:rsidRPr="006D4D9C">
        <w:rPr>
          <w:rFonts w:ascii="Times New Roman" w:hAnsi="Times New Roman" w:cs="Times New Roman"/>
          <w:color w:val="000000"/>
          <w:sz w:val="24"/>
          <w:szCs w:val="24"/>
          <w:lang w:eastAsia="en-US"/>
        </w:rPr>
        <w:br/>
        <w:t>w sprawie o przyznanie płatności bezpośrednich, płatności niezwiązanej do tytoniu oraz w ramach PROW</w:t>
      </w:r>
      <w:r w:rsidRPr="006D4D9C">
        <w:rPr>
          <w:rStyle w:val="Ppogrubienie"/>
          <w:rFonts w:ascii="Times New Roman" w:hAnsi="Times New Roman" w:cs="Times New Roman"/>
          <w:b w:val="0"/>
          <w:sz w:val="24"/>
          <w:szCs w:val="24"/>
        </w:rPr>
        <w:t>;</w:t>
      </w:r>
      <w:r w:rsidRPr="006D4D9C">
        <w:rPr>
          <w:rFonts w:ascii="Times New Roman" w:hAnsi="Times New Roman" w:cs="Times New Roman"/>
          <w:sz w:val="24"/>
          <w:szCs w:val="24"/>
        </w:rPr>
        <w:t xml:space="preserve"> </w:t>
      </w:r>
    </w:p>
    <w:p w14:paraId="2235BB0D" w14:textId="77777777" w:rsidR="005103B9" w:rsidRPr="006D4D9C" w:rsidRDefault="0023351A">
      <w:pPr>
        <w:numPr>
          <w:ilvl w:val="0"/>
          <w:numId w:val="2"/>
        </w:numPr>
        <w:spacing w:after="120"/>
        <w:jc w:val="both"/>
      </w:pPr>
      <w:r w:rsidRPr="006D4D9C">
        <w:rPr>
          <w:szCs w:val="24"/>
        </w:rPr>
        <w:t xml:space="preserve">wprowadzenie możliwości składania drogą elektroniczną wniosków o wybór operacji oraz innych dokumentów w postępowaniach w sprawie wyboru tych operacji przez partnerów KSOW; </w:t>
      </w:r>
    </w:p>
    <w:p w14:paraId="0255B5DF" w14:textId="77777777" w:rsidR="005103B9" w:rsidRPr="006D4D9C" w:rsidRDefault="0023351A">
      <w:pPr>
        <w:numPr>
          <w:ilvl w:val="0"/>
          <w:numId w:val="2"/>
        </w:numPr>
        <w:spacing w:after="120"/>
        <w:ind w:left="714" w:hanging="357"/>
        <w:jc w:val="both"/>
      </w:pPr>
      <w:r w:rsidRPr="006D4D9C">
        <w:rPr>
          <w:rFonts w:cs="Times New Roman"/>
          <w:szCs w:val="24"/>
        </w:rPr>
        <w:t>u</w:t>
      </w:r>
      <w:r w:rsidRPr="006D4D9C">
        <w:rPr>
          <w:rFonts w:eastAsia="Times New Roman" w:cs="Times New Roman"/>
          <w:szCs w:val="24"/>
        </w:rPr>
        <w:t xml:space="preserve">sprawnienie procesu rozpatrywania wniosków o przyznanie pomocy, pomocy technicznej oraz o wybór operacji partnerów KSOW w ramach </w:t>
      </w:r>
      <w:r w:rsidRPr="006D4D9C">
        <w:rPr>
          <w:rFonts w:cs="Times New Roman"/>
          <w:szCs w:val="24"/>
        </w:rPr>
        <w:t xml:space="preserve">Programu Rozwoju </w:t>
      </w:r>
      <w:r w:rsidRPr="006D4D9C">
        <w:rPr>
          <w:rFonts w:cs="Times New Roman"/>
          <w:szCs w:val="24"/>
        </w:rPr>
        <w:lastRenderedPageBreak/>
        <w:t xml:space="preserve">Obszarów Wiejskich na lata 2014-2020, </w:t>
      </w:r>
      <w:r w:rsidRPr="006D4D9C">
        <w:rPr>
          <w:rFonts w:eastAsia="Times New Roman" w:cs="Times New Roman"/>
          <w:szCs w:val="24"/>
        </w:rPr>
        <w:t xml:space="preserve">przez zmianę odpowiednich przepisów, tj. uchylenie art. </w:t>
      </w:r>
      <w:r w:rsidRPr="006D4D9C">
        <w:rPr>
          <w:rFonts w:cs="Times New Roman"/>
          <w:szCs w:val="24"/>
        </w:rPr>
        <w:t xml:space="preserve">67b ust. 1, 2 i 6 </w:t>
      </w:r>
      <w:r w:rsidRPr="006D4D9C">
        <w:rPr>
          <w:rFonts w:eastAsia="Times New Roman" w:cs="Times New Roman"/>
          <w:szCs w:val="24"/>
        </w:rPr>
        <w:t xml:space="preserve">ustawy </w:t>
      </w:r>
      <w:r w:rsidRPr="006D4D9C">
        <w:rPr>
          <w:rFonts w:cs="Times New Roman"/>
          <w:szCs w:val="24"/>
        </w:rPr>
        <w:t>o PROW 2014</w:t>
      </w:r>
      <w:r w:rsidRPr="006D4D9C">
        <w:rPr>
          <w:rFonts w:ascii="Symbol" w:eastAsia="Symbol" w:hAnsi="Symbol" w:cs="Symbol"/>
          <w:szCs w:val="24"/>
        </w:rPr>
        <w:t></w:t>
      </w:r>
      <w:r w:rsidRPr="006D4D9C">
        <w:rPr>
          <w:rFonts w:cs="Times New Roman"/>
          <w:szCs w:val="24"/>
        </w:rPr>
        <w:t xml:space="preserve">2020 oraz uwzględnienie przepisów przejściowych w celu </w:t>
      </w:r>
      <w:r w:rsidRPr="006D4D9C">
        <w:rPr>
          <w:rFonts w:eastAsia="Times New Roman" w:cs="Times New Roman"/>
          <w:szCs w:val="24"/>
        </w:rPr>
        <w:t xml:space="preserve">zapewnienia okresu </w:t>
      </w:r>
      <w:r w:rsidRPr="006D4D9C">
        <w:rPr>
          <w:rFonts w:cs="Times New Roman"/>
          <w:szCs w:val="24"/>
        </w:rPr>
        <w:t>niezbędnego do należytego przygotowania podmiotów uprawnionych do otrzymania pomocy lub pomocy technicznej do wprowadzanych zmian.</w:t>
      </w:r>
    </w:p>
    <w:p w14:paraId="2D2EDED1" w14:textId="77777777" w:rsidR="005103B9" w:rsidRPr="006D4D9C" w:rsidRDefault="0023351A">
      <w:pPr>
        <w:pStyle w:val="LITlitera"/>
        <w:spacing w:after="120"/>
        <w:ind w:left="0" w:firstLine="510"/>
        <w:rPr>
          <w:rFonts w:ascii="Times New Roman" w:eastAsia="Calibri" w:hAnsi="Times New Roman" w:cs="Times New Roman"/>
          <w:bCs w:val="0"/>
          <w:szCs w:val="24"/>
        </w:rPr>
      </w:pPr>
      <w:r w:rsidRPr="006D4D9C">
        <w:rPr>
          <w:rFonts w:ascii="Times New Roman" w:hAnsi="Times New Roman" w:cs="Times New Roman"/>
          <w:szCs w:val="24"/>
        </w:rPr>
        <w:t xml:space="preserve">Potrzeba dostosowania przepisów „ustawy o płatnościach” do przepisów rozporządzenia Komisji (UE) …/… z dnia …. </w:t>
      </w:r>
      <w:r w:rsidRPr="006D4D9C">
        <w:rPr>
          <w:rFonts w:ascii="Times New Roman" w:eastAsia="Calibri" w:hAnsi="Times New Roman" w:cs="Times New Roman"/>
          <w:bCs w:val="0"/>
          <w:szCs w:val="24"/>
        </w:rPr>
        <w:t>wynika z faktu, iż przepisy skierowane do państw członkowskich, ustalające ostateczny termin na złożenie wniosku o przyznanie płatności, jak również ustalające termin na zgłaszanie zmian do ww. wniosku zostały usunięte. To państwa członkowskie będą odpowiedzialne za określenie tych ostatecznych terminów. Przepisy te będą miały zastosowanie już od kampanii składania wniosków 2021 r.</w:t>
      </w:r>
    </w:p>
    <w:p w14:paraId="7A26B13F" w14:textId="77777777" w:rsidR="005103B9" w:rsidRPr="006D4D9C" w:rsidRDefault="0023351A">
      <w:pPr>
        <w:pStyle w:val="LITlitera"/>
        <w:spacing w:after="120"/>
        <w:ind w:left="0" w:firstLine="567"/>
        <w:rPr>
          <w:rFonts w:ascii="Times New Roman" w:hAnsi="Times New Roman"/>
          <w:color w:val="000000"/>
          <w:szCs w:val="24"/>
        </w:rPr>
      </w:pPr>
      <w:r w:rsidRPr="006D4D9C">
        <w:rPr>
          <w:rFonts w:ascii="Times New Roman" w:eastAsia="Calibri" w:hAnsi="Times New Roman" w:cs="Times New Roman"/>
          <w:bCs w:val="0"/>
          <w:szCs w:val="24"/>
        </w:rPr>
        <w:t xml:space="preserve">Zgodnie z dotychczas obowiązującymi przepisami rozporządzenia Komisji (UE) </w:t>
      </w:r>
      <w:r w:rsidRPr="006D4D9C">
        <w:rPr>
          <w:rFonts w:ascii="Times New Roman" w:eastAsia="Calibri" w:hAnsi="Times New Roman" w:cs="Times New Roman"/>
          <w:bCs w:val="0"/>
          <w:szCs w:val="24"/>
        </w:rPr>
        <w:br/>
        <w:t xml:space="preserve">nr 809/2014 </w:t>
      </w:r>
      <w:r w:rsidRPr="006D4D9C">
        <w:rPr>
          <w:rFonts w:ascii="Times New Roman" w:hAnsi="Times New Roman" w:cs="Times New Roman"/>
          <w:szCs w:val="24"/>
          <w:shd w:val="clear" w:color="auto" w:fill="FFFFFF"/>
        </w:rPr>
        <w:t xml:space="preserve">ustanawiającego zasady stosowania rozporządzenia Parlamentu Europejskiego </w:t>
      </w:r>
      <w:r w:rsidRPr="006D4D9C">
        <w:rPr>
          <w:rFonts w:ascii="Times New Roman" w:hAnsi="Times New Roman" w:cs="Times New Roman"/>
          <w:szCs w:val="24"/>
          <w:shd w:val="clear" w:color="auto" w:fill="FFFFFF"/>
        </w:rPr>
        <w:br/>
        <w:t xml:space="preserve">i Rady (UE) nr 1306/2013 w odniesieniu do zintegrowanego systemu zarządzania i kontroli, środków rozwoju obszarów wiejskich oraz zasady wzajemnej zgodności, </w:t>
      </w:r>
      <w:r w:rsidRPr="006D4D9C">
        <w:rPr>
          <w:rFonts w:ascii="Times New Roman" w:eastAsia="Calibri" w:hAnsi="Times New Roman" w:cs="Times New Roman"/>
          <w:bCs w:val="0"/>
          <w:szCs w:val="24"/>
        </w:rPr>
        <w:t>tj. zgodnie z art. 13 ust. 1,  to p</w:t>
      </w:r>
      <w:r w:rsidRPr="006D4D9C">
        <w:rPr>
          <w:rFonts w:ascii="Times New Roman" w:hAnsi="Times New Roman"/>
          <w:color w:val="000000"/>
          <w:szCs w:val="24"/>
        </w:rPr>
        <w:t>aństwa członkowskie określają ostateczne terminy, w których pojedynczy wniosek, wnioski o przyznanie pomocy lub wnioski o płatność mogą być składane. Niemniej jednak, ostateczne terminy przypadają nie później niż dnia 15 maja każdego roku. Estonia, Łotwa, Litwa, Finlandia i Szwecja mogą jednak ustalić inne terminy składania wniosków, nie późniejsze jednak niż dzień 15 czerwca danego roku kalendarzowego.</w:t>
      </w:r>
    </w:p>
    <w:p w14:paraId="396AAD02" w14:textId="77777777" w:rsidR="005103B9" w:rsidRPr="006D4D9C" w:rsidRDefault="0023351A">
      <w:pPr>
        <w:pStyle w:val="LITlitera"/>
        <w:spacing w:after="120"/>
        <w:ind w:left="0" w:firstLine="567"/>
        <w:rPr>
          <w:rFonts w:ascii="Times New Roman" w:hAnsi="Times New Roman"/>
          <w:color w:val="000000"/>
          <w:szCs w:val="24"/>
        </w:rPr>
      </w:pPr>
      <w:r w:rsidRPr="006D4D9C">
        <w:rPr>
          <w:rFonts w:ascii="Times New Roman" w:hAnsi="Times New Roman"/>
          <w:color w:val="000000"/>
          <w:szCs w:val="24"/>
        </w:rPr>
        <w:t xml:space="preserve">Ponadto, zgodnie z art. 15 ust. 1 ww. rozporządzenia, po ostatecznym terminie złożenia pojedynczego wniosku lub wniosku o płatność, poszczególne działki rolne lub indywidualne uprawnienia do płatności mogą być dodane lub dostosowane w pojedynczym wniosku lub wniosku o płatność, pod warunkiem że wymogi wynikające z przedmiotowych systemów płatności bezpośrednich i środków rozwoju obszarów wiejskich są przestrzegane. Zmian dotyczących użytkowania lub systemu płatności bezpośrednich lub środków rozwoju obszarów wiejskich odnośnie do poszczególnych działek rolnych lub odnośnie do uprawnień do płatności zadeklarowanych w pojedynczym wniosku można dokonać na tych samych warunkach. Zmiany te, zgłaszane są właściwym organom na piśmie najpóźniej do dnia 31 maja danego roku, z wyjątkiem Estonii, Łotwy, Litwy, Finlandii i Szwecji, gdzie są one zgłaszane do dnia 15 czerwca danego roku. </w:t>
      </w:r>
    </w:p>
    <w:p w14:paraId="4C7BE797" w14:textId="77777777" w:rsidR="005103B9" w:rsidRPr="006D4D9C" w:rsidRDefault="0023351A">
      <w:pPr>
        <w:pStyle w:val="HTML-wstpniesformatowany"/>
        <w:tabs>
          <w:tab w:val="clear" w:pos="916"/>
          <w:tab w:val="left" w:pos="567"/>
        </w:tabs>
        <w:spacing w:after="120" w:line="360" w:lineRule="auto"/>
        <w:jc w:val="both"/>
        <w:rPr>
          <w:rFonts w:ascii="Times New Roman" w:eastAsia="Calibri" w:hAnsi="Times New Roman" w:cs="Times New Roman"/>
          <w:sz w:val="24"/>
          <w:szCs w:val="24"/>
        </w:rPr>
      </w:pPr>
      <w:r w:rsidRPr="006D4D9C">
        <w:rPr>
          <w:rStyle w:val="tlid-translation"/>
          <w:rFonts w:ascii="Times New Roman" w:eastAsia="Calibri" w:hAnsi="Times New Roman" w:cs="Times New Roman"/>
          <w:bCs/>
          <w:sz w:val="24"/>
          <w:szCs w:val="24"/>
        </w:rPr>
        <w:lastRenderedPageBreak/>
        <w:tab/>
        <w:t xml:space="preserve">Obecnie, w opinii Komisji Europejskiej, państwom </w:t>
      </w:r>
      <w:r w:rsidRPr="006D4D9C">
        <w:rPr>
          <w:rFonts w:ascii="Times New Roman" w:hAnsi="Times New Roman" w:cs="Times New Roman"/>
          <w:sz w:val="24"/>
          <w:szCs w:val="24"/>
        </w:rPr>
        <w:t xml:space="preserve">członkowskim należy zapewnić większą elastyczność w ustalaniu tych terminów aby lepiej uwzględniać ich specyficzne warunki, w szczególności zmieniające się warunki klimatyczne i pogodowe. </w:t>
      </w:r>
      <w:r w:rsidRPr="006D4D9C">
        <w:rPr>
          <w:rFonts w:ascii="Times New Roman" w:eastAsia="Calibri" w:hAnsi="Times New Roman" w:cs="Times New Roman"/>
          <w:sz w:val="24"/>
          <w:szCs w:val="24"/>
        </w:rPr>
        <w:t>W ostatnich latach zmiany klimatu powodowały bowiem występowanie nadzwyczajnych sytuacji (susze, powodzie, przymrozki itp.) oraz innych trudnych sytuacji wpływających na sytuację rolników. W związku z tym, od 2015 r. na wniosek państw członkowskich (w tym Polski) termin składania wniosków był każdego roku wydłużany.</w:t>
      </w:r>
    </w:p>
    <w:p w14:paraId="487058BB" w14:textId="77777777" w:rsidR="005103B9" w:rsidRPr="006D4D9C" w:rsidRDefault="0023351A">
      <w:pPr>
        <w:pStyle w:val="HTML-wstpniesformatowany"/>
        <w:tabs>
          <w:tab w:val="clear" w:pos="916"/>
          <w:tab w:val="left" w:pos="567"/>
        </w:tabs>
        <w:spacing w:after="120" w:line="360" w:lineRule="auto"/>
        <w:jc w:val="both"/>
        <w:rPr>
          <w:rFonts w:ascii="Times New Roman" w:eastAsia="Calibri" w:hAnsi="Times New Roman" w:cs="Times New Roman"/>
          <w:bCs/>
          <w:sz w:val="24"/>
          <w:szCs w:val="24"/>
        </w:rPr>
      </w:pPr>
      <w:r w:rsidRPr="006D4D9C">
        <w:rPr>
          <w:rFonts w:ascii="Times New Roman" w:eastAsia="Calibri" w:hAnsi="Times New Roman" w:cs="Times New Roman"/>
          <w:sz w:val="24"/>
          <w:szCs w:val="24"/>
        </w:rPr>
        <w:tab/>
        <w:t>Biorąc pod uwagę powyższe, w odniesieniu do ostatecznego terminu składania wniosku przepisy „ustawy</w:t>
      </w:r>
      <w:r w:rsidRPr="006D4D9C">
        <w:rPr>
          <w:rFonts w:ascii="Times New Roman" w:eastAsia="Calibri" w:hAnsi="Times New Roman" w:cs="Times New Roman"/>
          <w:bCs/>
          <w:sz w:val="24"/>
          <w:szCs w:val="24"/>
        </w:rPr>
        <w:t xml:space="preserve"> </w:t>
      </w:r>
      <w:r w:rsidRPr="006D4D9C">
        <w:rPr>
          <w:rFonts w:ascii="Times New Roman" w:eastAsia="Calibri" w:hAnsi="Times New Roman" w:cs="Times New Roman"/>
          <w:sz w:val="24"/>
          <w:szCs w:val="24"/>
        </w:rPr>
        <w:t xml:space="preserve">o płatnościach” zostały utrzymane. Zgodnie z art. 21 ust. 1 wniosek </w:t>
      </w:r>
      <w:r w:rsidRPr="006D4D9C">
        <w:rPr>
          <w:rFonts w:ascii="Times New Roman" w:eastAsia="Calibri" w:hAnsi="Times New Roman" w:cs="Times New Roman"/>
          <w:sz w:val="24"/>
          <w:szCs w:val="24"/>
        </w:rPr>
        <w:br/>
        <w:t>o przyznanie płatności bezpośrednich i płatności niezwiązanej do tytoniu składa się w terminie od dnia 15 marca do dnia 15 maja.</w:t>
      </w:r>
    </w:p>
    <w:p w14:paraId="1908E5B6" w14:textId="554DF5E6" w:rsidR="005103B9" w:rsidRPr="006D4D9C" w:rsidRDefault="0023351A">
      <w:pPr>
        <w:pStyle w:val="LITlitera"/>
        <w:spacing w:after="120"/>
        <w:ind w:left="0" w:firstLine="567"/>
        <w:rPr>
          <w:rFonts w:ascii="Times New Roman" w:hAnsi="Times New Roman" w:cs="Times New Roman"/>
          <w:bCs w:val="0"/>
          <w:szCs w:val="24"/>
        </w:rPr>
      </w:pPr>
      <w:r w:rsidRPr="006D4D9C">
        <w:rPr>
          <w:rFonts w:ascii="Times New Roman" w:hAnsi="Times New Roman" w:cs="Times New Roman"/>
          <w:color w:val="000000"/>
          <w:szCs w:val="24"/>
        </w:rPr>
        <w:t>W związku z powyższym, w</w:t>
      </w:r>
      <w:r w:rsidRPr="006D4D9C">
        <w:rPr>
          <w:rFonts w:ascii="Times New Roman" w:eastAsia="Calibri" w:hAnsi="Times New Roman" w:cs="Times New Roman"/>
          <w:szCs w:val="24"/>
        </w:rPr>
        <w:t xml:space="preserve"> art. 1 pkt. 3 lit. a projektu ustawy proponuje się dodanie </w:t>
      </w:r>
      <w:r w:rsidRPr="006D4D9C">
        <w:rPr>
          <w:rFonts w:ascii="Times New Roman" w:eastAsia="Calibri" w:hAnsi="Times New Roman" w:cs="Times New Roman"/>
          <w:szCs w:val="24"/>
        </w:rPr>
        <w:br/>
        <w:t xml:space="preserve">w art. 21 zmienianej ustawy, ust. 1a, w którym określa się ostateczny termin składania zmian do wniosku przypadający na dzień 31 maja roku, w którym  został złożony wniosek. Zmiana ta ma jedynie charakter porządkowy, polegający na uwzględnieniu w przepisach krajowych terminu, który wynikał </w:t>
      </w:r>
      <w:r w:rsidRPr="006D4D9C">
        <w:rPr>
          <w:rFonts w:ascii="Times New Roman" w:eastAsia="Calibri" w:hAnsi="Times New Roman" w:cs="Times New Roman"/>
          <w:bCs w:val="0"/>
          <w:szCs w:val="24"/>
        </w:rPr>
        <w:t>dotychczas</w:t>
      </w:r>
      <w:r w:rsidRPr="006D4D9C">
        <w:rPr>
          <w:rFonts w:ascii="Times New Roman" w:eastAsia="Calibri" w:hAnsi="Times New Roman" w:cs="Times New Roman"/>
          <w:szCs w:val="24"/>
        </w:rPr>
        <w:t xml:space="preserve"> wprost z przepisów UE. </w:t>
      </w:r>
    </w:p>
    <w:p w14:paraId="0561408D" w14:textId="2ADF6CFF" w:rsidR="005103B9" w:rsidRPr="006D4D9C" w:rsidRDefault="0023351A">
      <w:pPr>
        <w:pStyle w:val="LITlitera"/>
        <w:spacing w:after="120"/>
        <w:ind w:left="0" w:firstLine="510"/>
        <w:rPr>
          <w:rFonts w:ascii="Times New Roman" w:eastAsia="Calibri" w:hAnsi="Times New Roman" w:cs="Times New Roman"/>
          <w:bCs w:val="0"/>
          <w:szCs w:val="24"/>
        </w:rPr>
      </w:pPr>
      <w:r w:rsidRPr="006D4D9C">
        <w:rPr>
          <w:rFonts w:ascii="Times New Roman" w:eastAsia="Calibri" w:hAnsi="Times New Roman" w:cs="Times New Roman"/>
          <w:bCs w:val="0"/>
          <w:szCs w:val="24"/>
        </w:rPr>
        <w:t xml:space="preserve">W art. 1 pkt. 3 lit. b projektu zaproponowano ponadto dodanie odesłania do terminu dotyczącego zgłaszania zmian do wniosku, jako terminu niepodlegającego przywróceniu. </w:t>
      </w:r>
      <w:r w:rsidRPr="006D4D9C">
        <w:rPr>
          <w:rFonts w:ascii="Times New Roman" w:eastAsia="Calibri" w:hAnsi="Times New Roman" w:cs="Times New Roman"/>
          <w:bCs w:val="0"/>
          <w:szCs w:val="24"/>
        </w:rPr>
        <w:br/>
        <w:t xml:space="preserve">W związku z  tym, że zgodnie z art. 21 ust. 2 zmienianej ustawy, termin składnia wniosku </w:t>
      </w:r>
      <w:r w:rsidRPr="006D4D9C">
        <w:rPr>
          <w:rFonts w:ascii="Times New Roman" w:eastAsia="Calibri" w:hAnsi="Times New Roman" w:cs="Times New Roman"/>
          <w:bCs w:val="0"/>
          <w:szCs w:val="24"/>
        </w:rPr>
        <w:br/>
        <w:t>o przyznanie płatności bezpośrednich i płatności niezwiązanej do tytoniu nie podlega przywróceniu, nastąpiła konieczność ujednolicenia przepisów w zakresie terminów.</w:t>
      </w:r>
    </w:p>
    <w:p w14:paraId="7EF614FF" w14:textId="22F7DE27" w:rsidR="00DD385B" w:rsidRPr="006D4D9C" w:rsidRDefault="0023351A">
      <w:pPr>
        <w:pStyle w:val="LITlitera"/>
        <w:spacing w:after="120"/>
        <w:ind w:left="0" w:firstLine="510"/>
        <w:rPr>
          <w:rFonts w:ascii="Times New Roman" w:eastAsia="Calibri" w:hAnsi="Times New Roman" w:cs="Times New Roman"/>
          <w:bCs w:val="0"/>
          <w:szCs w:val="24"/>
        </w:rPr>
      </w:pPr>
      <w:r w:rsidRPr="006D4D9C">
        <w:rPr>
          <w:rFonts w:ascii="Times New Roman" w:eastAsia="Calibri" w:hAnsi="Times New Roman" w:cs="Times New Roman"/>
          <w:bCs w:val="0"/>
          <w:szCs w:val="24"/>
        </w:rPr>
        <w:t xml:space="preserve">W art. 1 pkt 3 lit. b projektu ustawy </w:t>
      </w:r>
      <w:r w:rsidR="00DD385B" w:rsidRPr="006D4D9C">
        <w:rPr>
          <w:rFonts w:ascii="Times New Roman" w:eastAsia="Calibri" w:hAnsi="Times New Roman" w:cs="Times New Roman"/>
          <w:bCs w:val="0"/>
          <w:szCs w:val="24"/>
        </w:rPr>
        <w:t>zaproponowano nowe brzmienie art. 21 ust. 3 zawierające delegację ustawową dostosowującą prawo do zmienionych przepisów rozporządzenia (UE) nr 809/2014.</w:t>
      </w:r>
    </w:p>
    <w:p w14:paraId="11E77BA7" w14:textId="0FA3171E" w:rsidR="005103B9" w:rsidRPr="006D4D9C" w:rsidRDefault="00DD385B" w:rsidP="00F40ECD">
      <w:pPr>
        <w:pStyle w:val="LITlitera"/>
        <w:spacing w:after="120"/>
        <w:ind w:left="0" w:firstLine="510"/>
        <w:rPr>
          <w:rFonts w:ascii="Times New Roman" w:eastAsiaTheme="minorHAnsi" w:hAnsi="Times New Roman" w:cs="Times New Roman"/>
          <w:bCs w:val="0"/>
          <w:szCs w:val="24"/>
          <w:lang w:eastAsia="en-US"/>
        </w:rPr>
      </w:pPr>
      <w:r w:rsidRPr="006D4D9C">
        <w:rPr>
          <w:rFonts w:ascii="Times New Roman" w:eastAsia="Calibri" w:hAnsi="Times New Roman" w:cs="Times New Roman"/>
          <w:bCs w:val="0"/>
          <w:szCs w:val="24"/>
        </w:rPr>
        <w:t>D</w:t>
      </w:r>
      <w:r w:rsidR="0023351A" w:rsidRPr="006D4D9C">
        <w:rPr>
          <w:rFonts w:ascii="Times New Roman" w:eastAsia="Calibri" w:hAnsi="Times New Roman" w:cs="Times New Roman"/>
          <w:bCs w:val="0"/>
          <w:szCs w:val="24"/>
        </w:rPr>
        <w:t>otychczasowa delegacja przewidująca możliwość wydania rozporządzenia w przypadku gdy Komisja Europejska, działając w trybie art. 78 akapit drugi rozporządzenia nr 1306/2013, upoważni Rzeczpospolitą Polską do przedłużenia terminu składania wniosków o przyznanie płatności, w związku ze zmianą przepisów UE,  stała się bezprzedmiotowa. Zgodnie z nowym brzmieniem art. 21 ust. 3</w:t>
      </w:r>
      <w:r w:rsidRPr="006D4D9C">
        <w:rPr>
          <w:rFonts w:ascii="Times New Roman" w:eastAsia="Calibri" w:hAnsi="Times New Roman" w:cs="Times New Roman"/>
          <w:bCs w:val="0"/>
          <w:szCs w:val="24"/>
        </w:rPr>
        <w:t xml:space="preserve"> </w:t>
      </w:r>
      <w:r w:rsidR="0023351A" w:rsidRPr="006D4D9C">
        <w:rPr>
          <w:rFonts w:ascii="Times New Roman" w:hAnsi="Times New Roman"/>
          <w:color w:val="000000"/>
          <w:szCs w:val="24"/>
        </w:rPr>
        <w:t xml:space="preserve">Minister właściwy do spraw rozwoju wsi może określić w drodze rozporządzenia, dłuższy termin składania wniosków </w:t>
      </w:r>
      <w:r w:rsidR="0023351A" w:rsidRPr="00F40ECD">
        <w:rPr>
          <w:rFonts w:ascii="Times New Roman" w:hAnsi="Times New Roman"/>
          <w:color w:val="000000"/>
          <w:szCs w:val="24"/>
        </w:rPr>
        <w:t>lub zg</w:t>
      </w:r>
      <w:r w:rsidR="0023351A" w:rsidRPr="00F40ECD">
        <w:rPr>
          <w:rFonts w:ascii="Times New Roman" w:hAnsi="Times New Roman" w:hint="eastAsia"/>
          <w:color w:val="000000"/>
          <w:szCs w:val="24"/>
        </w:rPr>
        <w:t>ł</w:t>
      </w:r>
      <w:r w:rsidR="0023351A" w:rsidRPr="00F40ECD">
        <w:rPr>
          <w:rFonts w:ascii="Times New Roman" w:hAnsi="Times New Roman"/>
          <w:color w:val="000000"/>
          <w:szCs w:val="24"/>
        </w:rPr>
        <w:t>aszania zmian do wniosk</w:t>
      </w:r>
      <w:r w:rsidR="0023351A" w:rsidRPr="00F40ECD">
        <w:rPr>
          <w:rFonts w:ascii="Times New Roman" w:hAnsi="Times New Roman" w:hint="eastAsia"/>
          <w:color w:val="000000"/>
          <w:szCs w:val="24"/>
        </w:rPr>
        <w:t>ó</w:t>
      </w:r>
      <w:r w:rsidR="0023351A" w:rsidRPr="00F40ECD">
        <w:rPr>
          <w:rFonts w:ascii="Times New Roman" w:hAnsi="Times New Roman"/>
          <w:color w:val="000000"/>
          <w:szCs w:val="24"/>
        </w:rPr>
        <w:t>w</w:t>
      </w:r>
      <w:r w:rsidR="0023351A" w:rsidRPr="006D4D9C">
        <w:rPr>
          <w:rFonts w:ascii="Times New Roman" w:hAnsi="Times New Roman"/>
          <w:color w:val="000000"/>
          <w:szCs w:val="24"/>
        </w:rPr>
        <w:t xml:space="preserve"> </w:t>
      </w:r>
      <w:r w:rsidR="007A76BC" w:rsidRPr="006D4D9C">
        <w:rPr>
          <w:rFonts w:ascii="Times New Roman" w:hAnsi="Times New Roman"/>
          <w:color w:val="000000"/>
          <w:szCs w:val="24"/>
        </w:rPr>
        <w:br/>
      </w:r>
      <w:r w:rsidR="0023351A" w:rsidRPr="006D4D9C">
        <w:rPr>
          <w:rFonts w:ascii="Times New Roman" w:hAnsi="Times New Roman"/>
          <w:color w:val="000000"/>
          <w:szCs w:val="24"/>
        </w:rPr>
        <w:t xml:space="preserve">o przyznanie płatności  bezpośrednich lub płatności niezwiązanej do tytoniu w danym roku, mając na względzie umożliwienie otrzymania przez rolników należnych im płatności </w:t>
      </w:r>
      <w:r w:rsidR="0023351A" w:rsidRPr="006D4D9C">
        <w:rPr>
          <w:rFonts w:ascii="Times New Roman" w:hAnsi="Times New Roman"/>
          <w:color w:val="000000"/>
          <w:szCs w:val="24"/>
        </w:rPr>
        <w:lastRenderedPageBreak/>
        <w:t xml:space="preserve">bezpośrednich i płatności niezwiązanej do tytoniu. Przedmiotowa delegacja będzie miała zastosowanie np. </w:t>
      </w:r>
      <w:r w:rsidR="0023351A" w:rsidRPr="006D4D9C">
        <w:rPr>
          <w:rFonts w:ascii="Times New Roman" w:eastAsiaTheme="minorHAnsi" w:hAnsi="Times New Roman" w:cs="Times New Roman"/>
          <w:bCs w:val="0"/>
          <w:szCs w:val="24"/>
          <w:lang w:eastAsia="en-US"/>
        </w:rPr>
        <w:t xml:space="preserve">podczas wystąpienia </w:t>
      </w:r>
      <w:r w:rsidR="0023351A" w:rsidRPr="006D4D9C">
        <w:rPr>
          <w:rFonts w:ascii="Times New Roman" w:eastAsiaTheme="minorHAnsi" w:hAnsi="Times New Roman" w:cs="Times New Roman"/>
          <w:bCs w:val="0"/>
          <w:color w:val="000000"/>
          <w:szCs w:val="24"/>
          <w:lang w:eastAsia="en-US"/>
        </w:rPr>
        <w:t xml:space="preserve">na terenie kraju, wydarzeń lub sytuacji </w:t>
      </w:r>
      <w:r w:rsidR="0023351A" w:rsidRPr="006D4D9C">
        <w:rPr>
          <w:rFonts w:ascii="Times New Roman" w:eastAsia="Calibri" w:hAnsi="Times New Roman" w:cs="Times New Roman"/>
          <w:bCs w:val="0"/>
          <w:color w:val="000000"/>
          <w:szCs w:val="24"/>
          <w:lang w:eastAsia="en-US"/>
        </w:rPr>
        <w:t xml:space="preserve">uniemożliwiających rolnikom złożenie wniosków lub </w:t>
      </w:r>
      <w:r w:rsidRPr="006D4D9C">
        <w:rPr>
          <w:rFonts w:ascii="Times New Roman" w:eastAsia="Calibri" w:hAnsi="Times New Roman" w:cs="Times New Roman"/>
          <w:bCs w:val="0"/>
          <w:color w:val="000000"/>
          <w:szCs w:val="24"/>
          <w:lang w:eastAsia="en-US"/>
        </w:rPr>
        <w:t>zmian</w:t>
      </w:r>
      <w:r w:rsidR="0023351A" w:rsidRPr="006D4D9C">
        <w:rPr>
          <w:rFonts w:ascii="Times New Roman" w:eastAsia="Calibri" w:hAnsi="Times New Roman" w:cs="Times New Roman"/>
          <w:bCs w:val="0"/>
          <w:color w:val="000000"/>
          <w:szCs w:val="24"/>
          <w:lang w:eastAsia="en-US"/>
        </w:rPr>
        <w:t xml:space="preserve"> do wniosków </w:t>
      </w:r>
      <w:r w:rsidR="0023351A" w:rsidRPr="006D4D9C">
        <w:rPr>
          <w:rFonts w:ascii="Times New Roman" w:eastAsia="Calibri" w:hAnsi="Times New Roman" w:cs="Times New Roman"/>
          <w:bCs w:val="0"/>
          <w:color w:val="000000"/>
          <w:szCs w:val="24"/>
          <w:lang w:eastAsia="en-US"/>
        </w:rPr>
        <w:br/>
        <w:t>w podstawowym terminie. S</w:t>
      </w:r>
      <w:r w:rsidR="0023351A" w:rsidRPr="006D4D9C">
        <w:rPr>
          <w:rFonts w:ascii="Times New Roman" w:eastAsia="Calibri" w:hAnsi="Times New Roman" w:cs="Times New Roman"/>
          <w:szCs w:val="24"/>
        </w:rPr>
        <w:t>ytuacja taka może być spowodowana np. trudnymi warunkami pogodowymi,</w:t>
      </w:r>
      <w:r w:rsidR="0023351A" w:rsidRPr="006D4D9C">
        <w:rPr>
          <w:rFonts w:ascii="Times New Roman" w:eastAsiaTheme="minorHAnsi" w:hAnsi="Times New Roman" w:cs="Times New Roman"/>
          <w:bCs w:val="0"/>
          <w:szCs w:val="24"/>
          <w:lang w:eastAsia="en-US"/>
        </w:rPr>
        <w:t xml:space="preserve"> dlatego </w:t>
      </w:r>
      <w:r w:rsidR="0023351A" w:rsidRPr="006D4D9C">
        <w:rPr>
          <w:rFonts w:ascii="Times New Roman" w:eastAsia="Calibri" w:hAnsi="Times New Roman" w:cs="Times New Roman"/>
          <w:bCs w:val="0"/>
          <w:szCs w:val="24"/>
        </w:rPr>
        <w:t xml:space="preserve">możliwość wydłużenia podstawowego terminu składania wniosków </w:t>
      </w:r>
      <w:r w:rsidR="007A76BC" w:rsidRPr="006D4D9C">
        <w:rPr>
          <w:rFonts w:ascii="Times New Roman" w:eastAsia="Calibri" w:hAnsi="Times New Roman" w:cs="Times New Roman"/>
          <w:bCs w:val="0"/>
          <w:szCs w:val="24"/>
        </w:rPr>
        <w:br/>
      </w:r>
      <w:r w:rsidR="0023351A" w:rsidRPr="006D4D9C">
        <w:rPr>
          <w:rFonts w:ascii="Times New Roman" w:eastAsia="Calibri" w:hAnsi="Times New Roman" w:cs="Times New Roman"/>
          <w:bCs w:val="0"/>
          <w:szCs w:val="24"/>
        </w:rPr>
        <w:t xml:space="preserve">i zmian do wniosków jest rozwiązaniem korzystnym dla  rolników, którzy będą mieli więcej czasu na </w:t>
      </w:r>
      <w:r w:rsidR="0023351A" w:rsidRPr="006D4D9C">
        <w:rPr>
          <w:rFonts w:ascii="Times New Roman" w:hAnsi="Times New Roman" w:cs="Times New Roman"/>
          <w:color w:val="000000"/>
          <w:szCs w:val="24"/>
        </w:rPr>
        <w:t xml:space="preserve">przeprowadzanie zabiegów agrotechnicznych </w:t>
      </w:r>
      <w:r w:rsidR="0023351A" w:rsidRPr="006D4D9C">
        <w:rPr>
          <w:rFonts w:ascii="Times New Roman" w:eastAsia="Calibri" w:hAnsi="Times New Roman" w:cs="Times New Roman"/>
          <w:bCs w:val="0"/>
          <w:szCs w:val="24"/>
        </w:rPr>
        <w:t xml:space="preserve">i poprawne wypełnienie wniosku. </w:t>
      </w:r>
    </w:p>
    <w:p w14:paraId="787F6B17" w14:textId="77777777" w:rsidR="005103B9" w:rsidRPr="006D4D9C" w:rsidRDefault="0023351A">
      <w:pPr>
        <w:pStyle w:val="LITlitera"/>
        <w:spacing w:after="120"/>
        <w:ind w:left="0" w:firstLine="397"/>
        <w:rPr>
          <w:rFonts w:ascii="Times New Roman" w:eastAsia="Calibri" w:hAnsi="Times New Roman" w:cs="Times New Roman"/>
          <w:bCs w:val="0"/>
          <w:szCs w:val="24"/>
        </w:rPr>
      </w:pPr>
      <w:r w:rsidRPr="006D4D9C">
        <w:rPr>
          <w:rFonts w:ascii="Times New Roman" w:eastAsia="Calibri" w:hAnsi="Times New Roman" w:cs="Times New Roman"/>
          <w:bCs w:val="0"/>
          <w:szCs w:val="24"/>
        </w:rPr>
        <w:tab/>
      </w:r>
      <w:r w:rsidRPr="006D4D9C">
        <w:rPr>
          <w:rFonts w:ascii="Times New Roman" w:eastAsia="Calibri" w:hAnsi="Times New Roman" w:cs="Times New Roman"/>
          <w:bCs w:val="0"/>
          <w:szCs w:val="24"/>
        </w:rPr>
        <w:tab/>
        <w:t xml:space="preserve">Kolejne zmiany projektowanej ustawy wynikają z potrzeby uwzględnienia w przepisach krajowych możliwości wykorzystania </w:t>
      </w:r>
      <w:r w:rsidRPr="006D4D9C">
        <w:rPr>
          <w:rFonts w:ascii="Times New Roman" w:eastAsia="Times New Roman" w:hAnsi="Times New Roman" w:cs="Times New Roman"/>
          <w:bCs w:val="0"/>
          <w:szCs w:val="24"/>
          <w:lang w:eastAsia="en-US"/>
        </w:rPr>
        <w:t xml:space="preserve">tzw. zdjęć </w:t>
      </w:r>
      <w:proofErr w:type="spellStart"/>
      <w:r w:rsidRPr="006D4D9C">
        <w:rPr>
          <w:rFonts w:ascii="Times New Roman" w:eastAsia="Times New Roman" w:hAnsi="Times New Roman" w:cs="Times New Roman"/>
          <w:bCs w:val="0"/>
          <w:szCs w:val="24"/>
          <w:lang w:eastAsia="en-US"/>
        </w:rPr>
        <w:t>geotagowanych</w:t>
      </w:r>
      <w:proofErr w:type="spellEnd"/>
      <w:r w:rsidRPr="006D4D9C">
        <w:rPr>
          <w:rFonts w:ascii="Times New Roman" w:eastAsia="Times New Roman" w:hAnsi="Times New Roman" w:cs="Times New Roman"/>
          <w:bCs w:val="0"/>
          <w:szCs w:val="24"/>
          <w:lang w:eastAsia="en-US"/>
        </w:rPr>
        <w:t xml:space="preserve"> </w:t>
      </w:r>
      <w:r w:rsidRPr="006D4D9C">
        <w:rPr>
          <w:rFonts w:ascii="Times New Roman" w:eastAsia="Calibri" w:hAnsi="Times New Roman" w:cs="Times New Roman"/>
          <w:color w:val="000000"/>
        </w:rPr>
        <w:t xml:space="preserve">(tj. zawierających informację o długości i szerokości geograficznej miejsca wykonania) </w:t>
      </w:r>
      <w:r w:rsidRPr="006D4D9C">
        <w:rPr>
          <w:rFonts w:ascii="Times New Roman" w:eastAsia="Calibri" w:hAnsi="Times New Roman" w:cs="Times New Roman"/>
          <w:color w:val="000000"/>
          <w:szCs w:val="24"/>
        </w:rPr>
        <w:t xml:space="preserve">wykonanych i przesłanych przez stronę postępowania z wykorzystaniem aplikacji udostępnionej przez Agencję, które będą </w:t>
      </w:r>
      <w:r w:rsidRPr="006D4D9C">
        <w:rPr>
          <w:rFonts w:ascii="Times New Roman" w:eastAsiaTheme="minorHAnsi" w:hAnsi="Times New Roman" w:cs="Times New Roman"/>
          <w:color w:val="000000"/>
          <w:szCs w:val="24"/>
          <w:lang w:eastAsia="en-US"/>
        </w:rPr>
        <w:t>stanowiły dowód tego co zostało na nich zobrazowane oraz zawarte w sferze informatycznej</w:t>
      </w:r>
      <w:r w:rsidRPr="006D4D9C">
        <w:rPr>
          <w:rFonts w:ascii="Times New Roman" w:eastAsia="Calibri" w:hAnsi="Times New Roman" w:cs="Times New Roman"/>
          <w:color w:val="000000"/>
        </w:rPr>
        <w:t xml:space="preserve">. Zdjęcia </w:t>
      </w:r>
      <w:proofErr w:type="spellStart"/>
      <w:r w:rsidRPr="006D4D9C">
        <w:rPr>
          <w:rFonts w:ascii="Times New Roman" w:eastAsia="Calibri" w:hAnsi="Times New Roman" w:cs="Times New Roman"/>
          <w:color w:val="000000"/>
        </w:rPr>
        <w:t>geotagowane</w:t>
      </w:r>
      <w:proofErr w:type="spellEnd"/>
      <w:r w:rsidRPr="006D4D9C">
        <w:rPr>
          <w:rFonts w:ascii="Times New Roman" w:eastAsia="Calibri" w:hAnsi="Times New Roman" w:cs="Times New Roman"/>
          <w:color w:val="000000"/>
        </w:rPr>
        <w:t>, stanowią element wykorzystania nowych technologii, który będzie mógł być wykorzystywany jako dowód w sprawie, na podstawie którego można rozstrzygnąć kwestie związane z potwierdzeniem lub też zanegowaniem deklaracji rolnika, czy wypełnienia przez niego zobowiązań.</w:t>
      </w:r>
    </w:p>
    <w:p w14:paraId="4B3C3EC0" w14:textId="77777777" w:rsidR="005103B9" w:rsidRPr="006D4D9C" w:rsidRDefault="0023351A">
      <w:pPr>
        <w:pStyle w:val="LITlitera"/>
        <w:spacing w:after="120"/>
        <w:ind w:left="0" w:firstLine="397"/>
        <w:rPr>
          <w:rFonts w:ascii="Times New Roman" w:eastAsia="Times New Roman" w:hAnsi="Times New Roman" w:cs="Times New Roman"/>
          <w:bCs w:val="0"/>
          <w:szCs w:val="24"/>
          <w:lang w:eastAsia="en-US"/>
        </w:rPr>
      </w:pPr>
      <w:r w:rsidRPr="006D4D9C">
        <w:rPr>
          <w:rFonts w:ascii="Times New Roman" w:eastAsia="Times New Roman" w:hAnsi="Times New Roman" w:cs="Times New Roman"/>
          <w:bCs w:val="0"/>
          <w:szCs w:val="24"/>
          <w:lang w:eastAsia="en-US"/>
        </w:rPr>
        <w:t xml:space="preserve">Agencje płatnicze w państwach członkowskich mają możliwość stosowania </w:t>
      </w:r>
      <w:proofErr w:type="spellStart"/>
      <w:r w:rsidRPr="006D4D9C">
        <w:rPr>
          <w:rFonts w:ascii="Times New Roman" w:eastAsia="Times New Roman" w:hAnsi="Times New Roman" w:cs="Times New Roman"/>
          <w:bCs w:val="0"/>
          <w:szCs w:val="24"/>
          <w:lang w:eastAsia="en-US"/>
        </w:rPr>
        <w:t>geotagowanych</w:t>
      </w:r>
      <w:proofErr w:type="spellEnd"/>
      <w:r w:rsidRPr="006D4D9C">
        <w:rPr>
          <w:rFonts w:ascii="Times New Roman" w:eastAsia="Times New Roman" w:hAnsi="Times New Roman" w:cs="Times New Roman"/>
          <w:bCs w:val="0"/>
          <w:szCs w:val="24"/>
          <w:lang w:eastAsia="en-US"/>
        </w:rPr>
        <w:t xml:space="preserve"> zdjęć od roku 2018. Zgodnie z art. 24 ust. 4 rozporządzenia (UE) nr 809/2014, właściwy organ przeprowadza inspekcje fizyczne w terenie, w przypadku gdy fotointerpretacja satelitarnych lub lotniczych </w:t>
      </w:r>
      <w:proofErr w:type="spellStart"/>
      <w:r w:rsidRPr="006D4D9C">
        <w:rPr>
          <w:rFonts w:ascii="Times New Roman" w:eastAsia="Times New Roman" w:hAnsi="Times New Roman" w:cs="Times New Roman"/>
          <w:bCs w:val="0"/>
          <w:szCs w:val="24"/>
          <w:lang w:eastAsia="en-US"/>
        </w:rPr>
        <w:t>ortoobrazów</w:t>
      </w:r>
      <w:proofErr w:type="spellEnd"/>
      <w:r w:rsidRPr="006D4D9C">
        <w:rPr>
          <w:rFonts w:ascii="Times New Roman" w:eastAsia="Times New Roman" w:hAnsi="Times New Roman" w:cs="Times New Roman"/>
          <w:bCs w:val="0"/>
          <w:szCs w:val="24"/>
          <w:lang w:eastAsia="en-US"/>
        </w:rPr>
        <w:t xml:space="preserve"> lub innych odpowiednich dowodów, w tym dowodów przedstawionych przez beneficjenta na wniosek właściwego organu, nie dostarcza wyników, które pozwalają na wyciągnięcie ostatecznych wniosków, satysfakcjonujących właściwy organ, w odniesieniu do kwalifikowalności lub, w stosownych przypadkach, właściwej powierzchni obszaru, który jest przedmiotem kontroli administracyjnej lub kontroli na miejscu. Jednym z rekomendowanych przez KE ww. dowodów są właśnie zdjęcia </w:t>
      </w:r>
      <w:proofErr w:type="spellStart"/>
      <w:r w:rsidRPr="006D4D9C">
        <w:rPr>
          <w:rFonts w:ascii="Times New Roman" w:eastAsia="Times New Roman" w:hAnsi="Times New Roman" w:cs="Times New Roman"/>
          <w:bCs w:val="0"/>
          <w:szCs w:val="24"/>
          <w:lang w:eastAsia="en-US"/>
        </w:rPr>
        <w:t>geotagowane</w:t>
      </w:r>
      <w:proofErr w:type="spellEnd"/>
      <w:r w:rsidRPr="006D4D9C">
        <w:rPr>
          <w:rFonts w:ascii="Times New Roman" w:eastAsia="Times New Roman" w:hAnsi="Times New Roman" w:cs="Times New Roman"/>
          <w:bCs w:val="0"/>
          <w:szCs w:val="24"/>
          <w:lang w:eastAsia="en-US"/>
        </w:rPr>
        <w:t>.</w:t>
      </w:r>
    </w:p>
    <w:p w14:paraId="61402D15" w14:textId="77777777" w:rsidR="005103B9" w:rsidRPr="006D4D9C" w:rsidRDefault="0023351A">
      <w:pPr>
        <w:pStyle w:val="LITlitera"/>
        <w:spacing w:after="120"/>
        <w:ind w:left="0" w:firstLine="397"/>
        <w:rPr>
          <w:rFonts w:ascii="Times New Roman" w:eastAsia="Times New Roman" w:hAnsi="Times New Roman" w:cs="Times New Roman"/>
          <w:bCs w:val="0"/>
          <w:szCs w:val="24"/>
          <w:lang w:eastAsia="en-US"/>
        </w:rPr>
      </w:pPr>
      <w:r w:rsidRPr="006D4D9C">
        <w:rPr>
          <w:rFonts w:ascii="Times New Roman" w:eastAsia="Times New Roman" w:hAnsi="Times New Roman" w:cs="Times New Roman"/>
          <w:bCs w:val="0"/>
          <w:szCs w:val="24"/>
          <w:lang w:eastAsia="en-US"/>
        </w:rPr>
        <w:t xml:space="preserve">  Zdjęcia </w:t>
      </w:r>
      <w:proofErr w:type="spellStart"/>
      <w:r w:rsidRPr="006D4D9C">
        <w:rPr>
          <w:rFonts w:ascii="Times New Roman" w:eastAsia="Times New Roman" w:hAnsi="Times New Roman" w:cs="Times New Roman"/>
          <w:bCs w:val="0"/>
          <w:szCs w:val="24"/>
          <w:lang w:eastAsia="en-US"/>
        </w:rPr>
        <w:t>geotagowane</w:t>
      </w:r>
      <w:proofErr w:type="spellEnd"/>
      <w:r w:rsidRPr="006D4D9C">
        <w:rPr>
          <w:rFonts w:ascii="Times New Roman" w:eastAsia="Times New Roman" w:hAnsi="Times New Roman" w:cs="Times New Roman"/>
          <w:bCs w:val="0"/>
          <w:szCs w:val="24"/>
          <w:lang w:eastAsia="en-US"/>
        </w:rPr>
        <w:t xml:space="preserve"> będą stanowiły dokument urzędowy zgodnie z art. 76,  § 1 Kpa. </w:t>
      </w:r>
      <w:r w:rsidRPr="006D4D9C">
        <w:rPr>
          <w:rFonts w:ascii="Times New Roman" w:eastAsia="Times New Roman" w:hAnsi="Times New Roman" w:cs="Times New Roman"/>
          <w:bCs w:val="0"/>
          <w:szCs w:val="24"/>
          <w:lang w:eastAsia="en-US"/>
        </w:rPr>
        <w:br/>
        <w:t>W myśl art. 76,  § 1 d</w:t>
      </w:r>
      <w:r w:rsidRPr="006D4D9C">
        <w:rPr>
          <w:rFonts w:ascii="Times New Roman" w:eastAsia="Times New Roman" w:hAnsi="Times New Roman" w:cs="Times New Roman"/>
          <w:bCs w:val="0"/>
          <w:color w:val="000000"/>
          <w:szCs w:val="24"/>
          <w:lang w:eastAsia="en-US"/>
        </w:rPr>
        <w:t>okumenty urzędowe sporządzone w przepisanej formie przez powołane do tego organy państwowe w ich zakresie działania stanowią dowód tego, co zostało w nich urzędowo stwierdzone</w:t>
      </w:r>
      <w:r w:rsidRPr="006D4D9C">
        <w:rPr>
          <w:rFonts w:ascii="Times New Roman" w:eastAsia="Times New Roman" w:hAnsi="Times New Roman" w:cs="Times New Roman"/>
          <w:bCs w:val="0"/>
          <w:szCs w:val="24"/>
          <w:lang w:eastAsia="en-US"/>
        </w:rPr>
        <w:t xml:space="preserve"> , a więc  nastąpi doprecyzowanie przepisów, które przyczyni się do wyeliminowania wątpliwości interpretacyjnych w postępowaniach  </w:t>
      </w:r>
      <w:proofErr w:type="spellStart"/>
      <w:r w:rsidRPr="006D4D9C">
        <w:rPr>
          <w:rFonts w:ascii="Times New Roman" w:eastAsia="Times New Roman" w:hAnsi="Times New Roman" w:cs="Times New Roman"/>
          <w:bCs w:val="0"/>
          <w:szCs w:val="24"/>
          <w:lang w:eastAsia="en-US"/>
        </w:rPr>
        <w:t>sądowoadministracyjnych</w:t>
      </w:r>
      <w:proofErr w:type="spellEnd"/>
      <w:r w:rsidRPr="006D4D9C">
        <w:rPr>
          <w:rFonts w:ascii="Times New Roman" w:eastAsia="Times New Roman" w:hAnsi="Times New Roman" w:cs="Times New Roman"/>
          <w:bCs w:val="0"/>
          <w:szCs w:val="24"/>
          <w:lang w:eastAsia="en-US"/>
        </w:rPr>
        <w:t xml:space="preserve">.  W związku z powyższym odpowiednie regulacje zostały zaproponowane w art. 1 pkt. 1, art. 2, </w:t>
      </w:r>
      <w:r w:rsidRPr="006D4D9C">
        <w:rPr>
          <w:rFonts w:ascii="Times New Roman" w:eastAsia="Times New Roman" w:hAnsi="Times New Roman" w:cs="Times New Roman"/>
          <w:bCs w:val="0"/>
          <w:szCs w:val="24"/>
          <w:lang w:eastAsia="en-US"/>
        </w:rPr>
        <w:lastRenderedPageBreak/>
        <w:t xml:space="preserve">a także w art. 3 pkt. 1-3 projektu ustawy. </w:t>
      </w:r>
      <w:r w:rsidRPr="006D4D9C">
        <w:rPr>
          <w:rStyle w:val="Pogrubienie"/>
          <w:rFonts w:ascii="Times New Roman" w:eastAsia="Times New Roman" w:hAnsi="Times New Roman" w:cs="Times New Roman"/>
          <w:b w:val="0"/>
          <w:color w:val="000000"/>
          <w:szCs w:val="24"/>
          <w:lang w:eastAsia="en-US"/>
        </w:rPr>
        <w:t xml:space="preserve">Rozwiązanie takie będzie korzystne zarówno dla rolników jak i ARiMR. </w:t>
      </w:r>
    </w:p>
    <w:p w14:paraId="760E5697" w14:textId="7EBAA4AC" w:rsidR="005103B9" w:rsidRPr="006D4D9C" w:rsidRDefault="0023351A">
      <w:pPr>
        <w:spacing w:after="120"/>
        <w:ind w:firstLine="510"/>
        <w:jc w:val="both"/>
        <w:rPr>
          <w:rFonts w:eastAsia="Calibri" w:cs="Times New Roman"/>
          <w:szCs w:val="24"/>
        </w:rPr>
      </w:pPr>
      <w:r w:rsidRPr="006D4D9C">
        <w:rPr>
          <w:rFonts w:eastAsia="Calibri" w:cs="Times New Roman"/>
          <w:szCs w:val="24"/>
        </w:rPr>
        <w:t xml:space="preserve">W art. 3 pkt 4 proponuje się umożliwienie partnerom KSOW składanie wniosków o wybór operacji oraz innych dokumentów w postępowaniach w sprawie wyboru tych operacji, </w:t>
      </w:r>
      <w:r w:rsidRPr="006D4D9C">
        <w:rPr>
          <w:rFonts w:eastAsia="Calibri" w:cs="Times New Roman"/>
          <w:szCs w:val="24"/>
        </w:rPr>
        <w:br/>
        <w:t xml:space="preserve">w szczególności uzupełnień braków w tych wnioskach po otrzymaniu wezwania w tym zakresie, w formie dokumentu elektronicznego na elektroniczną skrzynkę podawczą </w:t>
      </w:r>
      <w:r w:rsidRPr="006D4D9C">
        <w:rPr>
          <w:rFonts w:eastAsia="Calibri" w:cs="Times New Roman"/>
          <w:szCs w:val="24"/>
        </w:rPr>
        <w:br/>
        <w:t xml:space="preserve">w rozumieniu art. 3 pkt 17 ustawy z dnia 17 lutego 2005 r. o informatyzacji działalności podmiotów realizujących zadania publiczne, jeżeli w ogłoszeniu o konkursie została przewidziana taka możliwość. </w:t>
      </w:r>
    </w:p>
    <w:p w14:paraId="1F1CE880" w14:textId="77777777" w:rsidR="005103B9" w:rsidRPr="006D4D9C" w:rsidRDefault="0023351A">
      <w:pPr>
        <w:spacing w:after="120"/>
        <w:ind w:firstLine="510"/>
        <w:jc w:val="both"/>
        <w:rPr>
          <w:rFonts w:eastAsia="Calibri" w:cs="Times New Roman"/>
          <w:szCs w:val="24"/>
        </w:rPr>
      </w:pPr>
      <w:r w:rsidRPr="006D4D9C">
        <w:rPr>
          <w:rFonts w:eastAsia="Calibri" w:cs="Times New Roman"/>
          <w:szCs w:val="24"/>
        </w:rPr>
        <w:t xml:space="preserve">Z uwagi na utrzymujący się stan epidemii konieczne jest określenie podstawy prawnej dla możliwości zastosowania takiego rozwiązania. Partnerzy KSOW, począwszy od pierwszego konkursu w 2017 r., mają bowiem możliwość składania wniosków </w:t>
      </w:r>
      <w:r w:rsidRPr="006D4D9C">
        <w:rPr>
          <w:rFonts w:cs="Times New Roman"/>
          <w:szCs w:val="24"/>
        </w:rPr>
        <w:t>o wybór operacji</w:t>
      </w:r>
      <w:r w:rsidRPr="006D4D9C">
        <w:rPr>
          <w:rFonts w:eastAsia="Calibri" w:cs="Times New Roman"/>
          <w:szCs w:val="24"/>
        </w:rPr>
        <w:t xml:space="preserve"> wyłączenie w formie pisemnej.</w:t>
      </w:r>
    </w:p>
    <w:p w14:paraId="331043E7" w14:textId="594C6553" w:rsidR="005103B9" w:rsidRPr="006D4D9C" w:rsidRDefault="0023351A">
      <w:pPr>
        <w:spacing w:before="240"/>
        <w:ind w:firstLine="340"/>
        <w:jc w:val="both"/>
        <w:rPr>
          <w:rFonts w:cs="Times New Roman"/>
          <w:szCs w:val="24"/>
        </w:rPr>
      </w:pPr>
      <w:r w:rsidRPr="00F40ECD">
        <w:rPr>
          <w:rFonts w:cs="Times New Roman"/>
          <w:szCs w:val="24"/>
        </w:rPr>
        <w:t xml:space="preserve">W art. 3 pkt 5 proponuje się zmianę przepisów </w:t>
      </w:r>
      <w:r w:rsidRPr="00F40ECD">
        <w:rPr>
          <w:rFonts w:eastAsia="Calibri" w:cs="Times New Roman"/>
          <w:szCs w:val="24"/>
        </w:rPr>
        <w:t xml:space="preserve">art. </w:t>
      </w:r>
      <w:r w:rsidRPr="00F40ECD">
        <w:rPr>
          <w:rFonts w:cs="Times New Roman"/>
          <w:szCs w:val="24"/>
        </w:rPr>
        <w:t>67b ust. 1, 2 i 6 „ustawy o PROW 2014</w:t>
      </w:r>
      <w:r w:rsidRPr="00F40ECD">
        <w:rPr>
          <w:rFonts w:ascii="Symbol" w:eastAsia="Symbol" w:hAnsi="Symbol" w:cs="Symbol"/>
          <w:szCs w:val="24"/>
        </w:rPr>
        <w:t></w:t>
      </w:r>
      <w:r w:rsidRPr="00F40ECD">
        <w:rPr>
          <w:rFonts w:cs="Times New Roman"/>
          <w:szCs w:val="24"/>
        </w:rPr>
        <w:t>2020”. Zmiany będą miały charakter blokowy i nastąpią z mocy prawa w odniesieniu do wszystkich prowadzonych postępowań</w:t>
      </w:r>
      <w:r w:rsidRPr="006D4D9C">
        <w:rPr>
          <w:rFonts w:ascii="Helvetica" w:hAnsi="Helvetica"/>
          <w:color w:val="000000"/>
          <w:sz w:val="18"/>
          <w:szCs w:val="18"/>
          <w:shd w:val="clear" w:color="auto" w:fill="FFFFA6"/>
        </w:rPr>
        <w:t xml:space="preserve"> </w:t>
      </w:r>
      <w:r w:rsidRPr="00F40ECD">
        <w:rPr>
          <w:rFonts w:cs="Times New Roman"/>
          <w:szCs w:val="24"/>
        </w:rPr>
        <w:t xml:space="preserve">w sprawie o przyznanie pomocy lub pomocy technicznej. </w:t>
      </w:r>
    </w:p>
    <w:p w14:paraId="1209C0C0" w14:textId="77777777" w:rsidR="005103B9" w:rsidRPr="006D4D9C" w:rsidRDefault="0023351A">
      <w:pPr>
        <w:spacing w:before="240"/>
        <w:ind w:firstLine="426"/>
        <w:jc w:val="both"/>
        <w:rPr>
          <w:rFonts w:cs="Times New Roman"/>
          <w:szCs w:val="24"/>
        </w:rPr>
      </w:pPr>
      <w:r w:rsidRPr="00F40ECD">
        <w:rPr>
          <w:rFonts w:cs="Times New Roman"/>
          <w:szCs w:val="24"/>
        </w:rPr>
        <w:t xml:space="preserve">Przepisy art. 67b były wprowadzane jako przepisy epizodyczne, mające obowiązywać jedynie w okresie stanu zagrożenia epidemicznego lub stanu epidemii ogłoszonych na podstawie ustawy z dnia 5 grudnia 2008 r. o zapobieganiu oraz zwalczaniu zakażeń i chorób zakaźnych u ludzi (Dz.U. z 2020 r. poz. 1845 i 2112) w związku z zakażeniami wirusem SARS-CoV-2 lub w okresie stanu nadzwyczajnego wprowadzonego w związku z zakażeniami tym wirusem. Zasadniczym celem tych przepisów było zapobieganie negatywnym dla podmiotów ubiegających się o przyznanie pomocy lub pomocy technicznej w ramach Programu skutkom ww. stanów oraz zapewnić sprawne wdrażanie Programu w warunkach tych stanów. Zmiany wprowadzone na mocy ww. przepisów miały zagwarantować możliwie najszerszą ochronę prawną interesów tych podmiotów w ramach toczących się w tym okresie postępowań </w:t>
      </w:r>
      <w:r w:rsidRPr="00F40ECD">
        <w:rPr>
          <w:rFonts w:cs="Times New Roman"/>
          <w:szCs w:val="24"/>
        </w:rPr>
        <w:br/>
        <w:t xml:space="preserve">w sprawie o przyznanie pomocy lub pomocy technicznej, na wypadek wystąpienia niesprzyjających sytuacji w związku z trwającym stanem epidemii. Takie założenie przyjęte na początku trwania stanu epidemii było założeniem jak najbardziej słusznym, zwłaszcza biorąc pod uwagę, że sytuacja ta byłą sytuacją nową, rozwojową i charakteryzowała się dużą </w:t>
      </w:r>
      <w:r w:rsidRPr="00F40ECD">
        <w:rPr>
          <w:rFonts w:cs="Times New Roman"/>
          <w:szCs w:val="24"/>
        </w:rPr>
        <w:lastRenderedPageBreak/>
        <w:t>nieprzewidywalnością. Zarówno podmioty prywatne jak i podmioty publiczne musiały dostosować się do zupełnie nowej rzeczywistości aby zachować ciągłość swojego działania. Niezbędne zatem było podjęcie wszelkich działań dających możliwość zarówno podmiotom ubiegającym się o przyznanie pomocy lub pomocy technicznej, jak też podmiotom odpowiedzialnym za prowadzenie spraw o przyznanie tej pomocy, zapewnić odpowiednie narzędzia w ramach Programu, w szczególności pozwalające skompletować dokumentację niezbędną dla potwierdzenia warunków czy też zobowiązań stanowiącą podstawę przyznania tej pomocy (w terminie możliwym do zachowania z uwzględnieniem trwania ww. stanów).</w:t>
      </w:r>
    </w:p>
    <w:p w14:paraId="1B343256" w14:textId="77777777" w:rsidR="005103B9" w:rsidRPr="006D4D9C" w:rsidRDefault="0023351A">
      <w:pPr>
        <w:spacing w:before="240"/>
        <w:jc w:val="both"/>
        <w:rPr>
          <w:rFonts w:cs="Times New Roman"/>
          <w:szCs w:val="24"/>
        </w:rPr>
      </w:pPr>
      <w:r w:rsidRPr="00F40ECD">
        <w:rPr>
          <w:rFonts w:cs="Times New Roman"/>
          <w:szCs w:val="24"/>
        </w:rPr>
        <w:t>Jednakże w  momencie przygotowywania regulacji przewidzianych w ww. przepisach trudno było przewidzieć, że okres ten trwał będzie tak długo. Mając na względzie, iż, z uwagi na wydłużający się okres trwania epidemii wirusa SARS-CoV-2 i niemożliwość przewidzenia prawdopodobnego terminu jego ustania, rozwiązania przewidziane w</w:t>
      </w:r>
      <w:r w:rsidRPr="00F40ECD">
        <w:rPr>
          <w:rFonts w:eastAsia="Calibri" w:cs="Times New Roman"/>
          <w:szCs w:val="24"/>
        </w:rPr>
        <w:t xml:space="preserve"> art. </w:t>
      </w:r>
      <w:r w:rsidRPr="00F40ECD">
        <w:rPr>
          <w:rFonts w:cs="Times New Roman"/>
          <w:szCs w:val="24"/>
        </w:rPr>
        <w:t>67b ust. 1, 2 i 6 utrudniają należyte zarządzanie środkami finansowymi Programu Rozwoju Obszarów Wiejskich na lata 2014</w:t>
      </w:r>
      <w:r w:rsidRPr="00F40ECD">
        <w:rPr>
          <w:rFonts w:ascii="Symbol" w:eastAsia="Symbol" w:hAnsi="Symbol" w:cs="Symbol"/>
          <w:szCs w:val="24"/>
        </w:rPr>
        <w:t></w:t>
      </w:r>
      <w:r w:rsidRPr="00F40ECD">
        <w:rPr>
          <w:rFonts w:cs="Times New Roman"/>
          <w:szCs w:val="24"/>
        </w:rPr>
        <w:t xml:space="preserve">2020 i opóźniają ich wydatkowanie, proponuje się uchylenie tych przepisów. </w:t>
      </w:r>
    </w:p>
    <w:p w14:paraId="3C7BC3A4" w14:textId="77777777" w:rsidR="005103B9" w:rsidRPr="006D4D9C" w:rsidRDefault="0023351A">
      <w:pPr>
        <w:jc w:val="both"/>
        <w:rPr>
          <w:rFonts w:cs="Times New Roman"/>
          <w:szCs w:val="24"/>
        </w:rPr>
      </w:pPr>
      <w:r w:rsidRPr="00F40ECD">
        <w:rPr>
          <w:rFonts w:cs="Times New Roman"/>
          <w:szCs w:val="24"/>
        </w:rPr>
        <w:t xml:space="preserve">Należy jednak podkreślić, że uchylenie ww. przepisów nie wpłynie znacząco na pogorszenie sytuacji podmiotów ubiegających się o przyznanie pomocy lub pomocy technicznej. </w:t>
      </w:r>
    </w:p>
    <w:p w14:paraId="730D3F78" w14:textId="77777777" w:rsidR="005103B9" w:rsidRPr="006D4D9C" w:rsidRDefault="0023351A">
      <w:pPr>
        <w:jc w:val="both"/>
        <w:rPr>
          <w:rFonts w:cs="Times New Roman"/>
          <w:szCs w:val="24"/>
        </w:rPr>
      </w:pPr>
      <w:r w:rsidRPr="00F40ECD">
        <w:rPr>
          <w:rFonts w:cs="Times New Roman"/>
          <w:szCs w:val="24"/>
        </w:rPr>
        <w:t>W przypadku instrumentów wsparcia, dla których pomoc przyznawana jest w drodze umowy o przyznaniu pomocy oraz w przypadku pomocy technicznej, stosowne rozwiązania prawne, możliwe do zastosowania również w sytuacji związanej z wystąpieniem wirusa SARS-CoV-2, znajdują się już w przepisach wydanych na podstawie art. 45 ustawy o PROW 2014</w:t>
      </w:r>
      <w:r w:rsidRPr="00F40ECD">
        <w:rPr>
          <w:rFonts w:ascii="Symbol" w:eastAsia="Symbol" w:hAnsi="Symbol" w:cs="Symbol"/>
          <w:szCs w:val="24"/>
        </w:rPr>
        <w:t></w:t>
      </w:r>
      <w:r w:rsidRPr="00F40ECD">
        <w:rPr>
          <w:rFonts w:cs="Times New Roman"/>
          <w:szCs w:val="24"/>
        </w:rPr>
        <w:t xml:space="preserve">2020. </w:t>
      </w:r>
      <w:r w:rsidRPr="00F40ECD">
        <w:rPr>
          <w:rFonts w:cs="Times New Roman"/>
          <w:szCs w:val="24"/>
        </w:rPr>
        <w:br/>
        <w:t xml:space="preserve">W przepisach tych ustanowiono mechanizm przywracania terminu wykonania czynności </w:t>
      </w:r>
      <w:r w:rsidRPr="00F40ECD">
        <w:rPr>
          <w:rFonts w:cs="Times New Roman"/>
          <w:szCs w:val="24"/>
        </w:rPr>
        <w:br/>
        <w:t>w toku postępowania w sprawie przyznania pomocy przez podmiot ubiegający się o przyznanie pomocy lub pomocy technicznej, na prośbę tego podmiotu, jeżeli podmiot ten:</w:t>
      </w:r>
    </w:p>
    <w:p w14:paraId="5E48D714" w14:textId="77777777" w:rsidR="005103B9" w:rsidRPr="006D4D9C" w:rsidRDefault="0023351A">
      <w:pPr>
        <w:jc w:val="both"/>
        <w:rPr>
          <w:rFonts w:cs="Times New Roman"/>
          <w:szCs w:val="24"/>
        </w:rPr>
      </w:pPr>
      <w:r w:rsidRPr="00F40ECD">
        <w:rPr>
          <w:rFonts w:cs="Times New Roman"/>
          <w:szCs w:val="24"/>
        </w:rPr>
        <w:t>1) wniósł prośbę w terminie 14 dni od dnia ustania przyczyny uchybienia;</w:t>
      </w:r>
    </w:p>
    <w:p w14:paraId="2B6FF71A" w14:textId="77777777" w:rsidR="005103B9" w:rsidRPr="006D4D9C" w:rsidRDefault="0023351A">
      <w:pPr>
        <w:jc w:val="both"/>
        <w:rPr>
          <w:rFonts w:cs="Times New Roman"/>
          <w:szCs w:val="24"/>
        </w:rPr>
      </w:pPr>
      <w:r w:rsidRPr="00F40ECD">
        <w:rPr>
          <w:rFonts w:cs="Times New Roman"/>
          <w:szCs w:val="24"/>
        </w:rPr>
        <w:t>2) jednocześnie z wniesieniem prośby dopełnił czynności, dla której określony był termin;​​</w:t>
      </w:r>
    </w:p>
    <w:p w14:paraId="01677C50" w14:textId="77777777" w:rsidR="005103B9" w:rsidRPr="006D4D9C" w:rsidRDefault="0023351A">
      <w:pPr>
        <w:jc w:val="both"/>
        <w:rPr>
          <w:rFonts w:cs="Times New Roman"/>
          <w:szCs w:val="24"/>
        </w:rPr>
      </w:pPr>
      <w:r w:rsidRPr="00F40ECD">
        <w:rPr>
          <w:rFonts w:cs="Times New Roman"/>
          <w:szCs w:val="24"/>
        </w:rPr>
        <w:t>3) uprawdopodobnił, że uchybienie nastąpiło bez jego winy.​</w:t>
      </w:r>
    </w:p>
    <w:p w14:paraId="7A18B0B2" w14:textId="77777777" w:rsidR="005103B9" w:rsidRPr="006D4D9C" w:rsidRDefault="0023351A">
      <w:pPr>
        <w:jc w:val="both"/>
        <w:rPr>
          <w:rFonts w:cs="Times New Roman"/>
          <w:szCs w:val="24"/>
        </w:rPr>
      </w:pPr>
      <w:r w:rsidRPr="00F40ECD">
        <w:rPr>
          <w:rFonts w:cs="Times New Roman"/>
          <w:szCs w:val="24"/>
        </w:rPr>
        <w:t xml:space="preserve">Rozwiązanie takie nie zostało uwzględnione jedynie w przypadku instrumentów wsparcia, których beneficjentami zostały zdefiniowane jednostki sektora finansów publicznych. Takie rozwiązanie wynika z wieloletnich doświadczeń, które pokazują iż ta grupa beneficjentów nie wymaga szczególnych rozwiązań prawnych zapewniających ich interesy i wykazuje się należytym przygotowaniem dokumentacji aplikacyjnej. Zatem zbędne jest wprowadzanie </w:t>
      </w:r>
      <w:r w:rsidRPr="00F40ECD">
        <w:rPr>
          <w:rFonts w:cs="Times New Roman"/>
          <w:szCs w:val="24"/>
        </w:rPr>
        <w:lastRenderedPageBreak/>
        <w:t xml:space="preserve">dodatkowych mechanizmów, które mogłyby niepotrzebnie wydłużać proces przyznawania pomocy. </w:t>
      </w:r>
    </w:p>
    <w:p w14:paraId="203FA03E" w14:textId="62D81151" w:rsidR="005103B9" w:rsidRPr="006D4D9C" w:rsidRDefault="0023351A">
      <w:pPr>
        <w:jc w:val="both"/>
        <w:rPr>
          <w:rFonts w:cs="Times New Roman"/>
          <w:szCs w:val="24"/>
        </w:rPr>
      </w:pPr>
      <w:r w:rsidRPr="00F40ECD">
        <w:rPr>
          <w:rFonts w:cs="Times New Roman"/>
          <w:szCs w:val="24"/>
        </w:rPr>
        <w:t xml:space="preserve">Z kolei w odniesieniu do instrumentów wsparcia, w przypadku których pomoc przyznawana jest w drodze decyzji administracyjnej, znajdują zastosowanie przepisy art. 64 i 50 ustawy </w:t>
      </w:r>
      <w:r w:rsidRPr="00F40ECD">
        <w:rPr>
          <w:rFonts w:cs="Times New Roman"/>
          <w:szCs w:val="24"/>
        </w:rPr>
        <w:br/>
        <w:t xml:space="preserve">z dnia 14 czerwca 1960 r. Kodeks postępowania administracyjnego (Dz. U. z 2019 r. poz. poz. 256, 695 i 1298), zwanej dalej „Kpa”. Zgodnie z art. 64 § 2 Kpa, jeżeli podanie nie spełnia wymagań ustalonych w przepisach prawa, należy wezwać wnoszącego do usunięcia braków </w:t>
      </w:r>
      <w:r w:rsidR="007A76BC" w:rsidRPr="00F40ECD">
        <w:rPr>
          <w:rFonts w:cs="Times New Roman"/>
          <w:szCs w:val="24"/>
        </w:rPr>
        <w:br/>
      </w:r>
      <w:r w:rsidRPr="00F40ECD">
        <w:rPr>
          <w:rFonts w:cs="Times New Roman"/>
          <w:szCs w:val="24"/>
        </w:rPr>
        <w:t>w wyznaczonym terminie, nie krótszym niż siedem dni, z pouczeniem, że nieusunięcie tych braków spowoduje pozostawienie podania bez rozpoznania. Termin z przepisu art. 64 § 2 Kpa traktować należy tak jak termin o charakterze instrukcyjnym, wskazany wprost przez ustawodawcę, a zatem terminu tego się nie przywraca. Podmiot ubiegający się o przyznanie pomocy po upływie terminu może złożyć uzupełniony wniosek i organ ma obowiązek jego  rozpoznania.   Jeżeli podmiot ten dopełni czynności po terminie wyznaczonym przez ARiMR - wniosek jest dalej procedowany, postępowanie o przyznanie pomocy jest kontynuowane (ale nie na podstawie art. 58 Kpa). Natomiast zgodnie z art. 50 § 1 Kpa organ administracji publicznej może wzywać osoby do udziału w podejmowanych czynnościach i do złożenia wyjaśnień lub zeznań osobiście, przez pełnomocnika, na piśmie lub w formie dokumentu elektronicznego, jeżeli jest to niezbędne dla rozstrzygnięcia sprawy lub dla wykonywania czynności urzędowych.</w:t>
      </w:r>
      <w:r w:rsidRPr="006D4D9C">
        <w:rPr>
          <w:rFonts w:ascii="Calibri" w:eastAsia="Times New Roman" w:hAnsi="Calibri" w:cs="Calibri"/>
          <w:color w:val="006FC9"/>
          <w:szCs w:val="24"/>
          <w:shd w:val="clear" w:color="auto" w:fill="FFFFA6"/>
        </w:rPr>
        <w:t xml:space="preserve"> </w:t>
      </w:r>
      <w:r w:rsidRPr="00F40ECD">
        <w:rPr>
          <w:rFonts w:cs="Times New Roman"/>
          <w:szCs w:val="24"/>
        </w:rPr>
        <w:t xml:space="preserve">Termin wyznaczony przez organ administracji (termin do złożenia wyjaśnień, dokumentów lub innych dowodów) jest terminem proceduralnym </w:t>
      </w:r>
      <w:r w:rsidR="007A76BC" w:rsidRPr="00F40ECD">
        <w:rPr>
          <w:rFonts w:cs="Times New Roman"/>
          <w:szCs w:val="24"/>
        </w:rPr>
        <w:br/>
      </w:r>
      <w:r w:rsidRPr="00F40ECD">
        <w:rPr>
          <w:rFonts w:cs="Times New Roman"/>
          <w:szCs w:val="24"/>
        </w:rPr>
        <w:t>o charakterze zwykłym (porządkowym, instrukcyjnym). A zatem (jw.) organ powinien uznać za skuteczną czynność dokonaną po upływie wyznaczonego terminu/uwzględnić wyjaśnienia złożone po terminie.</w:t>
      </w:r>
    </w:p>
    <w:p w14:paraId="43F3280A" w14:textId="77777777" w:rsidR="005103B9" w:rsidRPr="006D4D9C" w:rsidRDefault="0023351A">
      <w:pPr>
        <w:jc w:val="both"/>
        <w:rPr>
          <w:rFonts w:cs="Times New Roman"/>
          <w:szCs w:val="24"/>
        </w:rPr>
      </w:pPr>
      <w:r w:rsidRPr="00F40ECD">
        <w:rPr>
          <w:rFonts w:cs="Times New Roman"/>
          <w:szCs w:val="24"/>
        </w:rPr>
        <w:t>W związku z powyższym, uchylenie przepisu art. 67b ust. 1 nie pogorszy sytuacji prawnej podmiotów ubiegających się o przyznanie w ramach tych instrumentów.  </w:t>
      </w:r>
    </w:p>
    <w:p w14:paraId="6253E657" w14:textId="77777777" w:rsidR="005103B9" w:rsidRPr="006D4D9C" w:rsidRDefault="0023351A">
      <w:pPr>
        <w:jc w:val="both"/>
        <w:rPr>
          <w:rFonts w:cs="Times New Roman"/>
          <w:szCs w:val="24"/>
        </w:rPr>
      </w:pPr>
      <w:r w:rsidRPr="00F40ECD">
        <w:rPr>
          <w:rFonts w:cs="Times New Roman"/>
          <w:szCs w:val="24"/>
        </w:rPr>
        <w:t>Również po uchyleniu art. 67b ust. 2 w instrumentach tych przepisy Kpa dają szeroki wachlarz możliwości prowadzenia postępowania w taki sposób, aby to było</w:t>
      </w:r>
      <w:r w:rsidR="0050743E" w:rsidRPr="00F40ECD">
        <w:rPr>
          <w:rFonts w:cs="Times New Roman"/>
          <w:szCs w:val="24"/>
        </w:rPr>
        <w:t xml:space="preserve"> </w:t>
      </w:r>
      <w:r w:rsidRPr="00F40ECD">
        <w:rPr>
          <w:rFonts w:cs="Times New Roman"/>
          <w:szCs w:val="24"/>
        </w:rPr>
        <w:t xml:space="preserve">jak najbardziej korzystne dla podmiotów ubiegających się o przyznanie pomocy. Art. 50 Kpa daje organowi możliwość, a zarazem powinność wzywania podmiotu ubiegającego się </w:t>
      </w:r>
      <w:r w:rsidR="007A76BC" w:rsidRPr="00F40ECD">
        <w:rPr>
          <w:rFonts w:cs="Times New Roman"/>
          <w:szCs w:val="24"/>
        </w:rPr>
        <w:br/>
      </w:r>
      <w:r w:rsidRPr="00F40ECD">
        <w:rPr>
          <w:rFonts w:cs="Times New Roman"/>
          <w:szCs w:val="24"/>
        </w:rPr>
        <w:t xml:space="preserve">o przyznanie pomocy do złożenia wyjaśnień/dokonania jakichś czynności, jeżeli jest to niezbędne dla rozstrzygnięcia sprawy. W wezwaniu należy wskazać skutki prawne niezastosowania się do niego (art. 54 pkt 6 Kpa). Organ przyznający pomoc może i powinien  żądać od strony dodatkowych wyjaśnień i dowodów/dokumentów w każdej </w:t>
      </w:r>
      <w:r w:rsidRPr="00F40ECD">
        <w:rPr>
          <w:rFonts w:cs="Times New Roman"/>
          <w:szCs w:val="24"/>
        </w:rPr>
        <w:lastRenderedPageBreak/>
        <w:t>sytuacji gdy przyczyni się to do właściwego i korzystnego dla niej (słuszny interes strony) wyjaśnienia i rozstrzygnięcia sprawy (np. gdy podmiot ubiegający się o przyznanie pomocy nie przedłożył wystarczających dowodów potwierdzających spełnienie jakiegoś warunku przyznania pomocy).</w:t>
      </w:r>
    </w:p>
    <w:p w14:paraId="0D4ECCC6" w14:textId="1EAAEEFD" w:rsidR="007B6483" w:rsidRPr="006D4D9C" w:rsidRDefault="0023351A">
      <w:pPr>
        <w:jc w:val="both"/>
        <w:rPr>
          <w:rFonts w:eastAsia="Calibri" w:cs="Times New Roman"/>
          <w:szCs w:val="24"/>
        </w:rPr>
      </w:pPr>
      <w:r w:rsidRPr="00F40ECD">
        <w:rPr>
          <w:rFonts w:cs="Times New Roman"/>
          <w:szCs w:val="24"/>
        </w:rPr>
        <w:t xml:space="preserve">Zmiana zaproponowana w art. 67b ust. 3 ma </w:t>
      </w:r>
      <w:r w:rsidR="00006F23" w:rsidRPr="00F40ECD">
        <w:rPr>
          <w:rFonts w:cs="Times New Roman"/>
          <w:szCs w:val="24"/>
        </w:rPr>
        <w:t>charakter czysto techniczny</w:t>
      </w:r>
      <w:r w:rsidR="00006F23" w:rsidRPr="00F40ECD" w:rsidDel="00006F23">
        <w:rPr>
          <w:rFonts w:cs="Times New Roman"/>
          <w:szCs w:val="24"/>
        </w:rPr>
        <w:t xml:space="preserve"> </w:t>
      </w:r>
      <w:r w:rsidR="00006F23" w:rsidRPr="00F40ECD">
        <w:rPr>
          <w:rFonts w:cs="Times New Roman"/>
          <w:szCs w:val="24"/>
        </w:rPr>
        <w:t xml:space="preserve">i polega na dodaniu po tytule </w:t>
      </w:r>
      <w:r w:rsidR="00006F23" w:rsidRPr="006D4D9C">
        <w:rPr>
          <w:rFonts w:cs="Times New Roman"/>
          <w:szCs w:val="24"/>
        </w:rPr>
        <w:t xml:space="preserve">ustawy z dnia 5 grudnia 2008 r. </w:t>
      </w:r>
      <w:r w:rsidR="00006F23" w:rsidRPr="00F40ECD">
        <w:rPr>
          <w:rFonts w:cs="Times New Roman"/>
          <w:i/>
          <w:szCs w:val="24"/>
        </w:rPr>
        <w:t>o zapobieganiu oraz zwalczaniu zakażeń i chorób zakaźnych u ludzi</w:t>
      </w:r>
      <w:r w:rsidR="00006F23" w:rsidRPr="006D4D9C">
        <w:rPr>
          <w:rFonts w:cs="Times New Roman"/>
          <w:szCs w:val="24"/>
        </w:rPr>
        <w:t xml:space="preserve"> </w:t>
      </w:r>
      <w:r w:rsidR="003B1457" w:rsidRPr="006D4D9C">
        <w:rPr>
          <w:rFonts w:cs="Times New Roman"/>
          <w:szCs w:val="24"/>
        </w:rPr>
        <w:t xml:space="preserve">odniesienia do aktualnych dzienników urzędowych. </w:t>
      </w:r>
    </w:p>
    <w:p w14:paraId="23128825" w14:textId="1E9F1E2E" w:rsidR="005103B9" w:rsidRPr="006D4D9C" w:rsidRDefault="0023351A">
      <w:pPr>
        <w:jc w:val="both"/>
        <w:rPr>
          <w:rFonts w:cs="Times New Roman"/>
          <w:szCs w:val="24"/>
        </w:rPr>
      </w:pPr>
      <w:r w:rsidRPr="006D4D9C">
        <w:rPr>
          <w:rFonts w:eastAsia="Calibri" w:cs="Times New Roman"/>
          <w:szCs w:val="24"/>
        </w:rPr>
        <w:t xml:space="preserve">Zmiana zaproponowana w art. </w:t>
      </w:r>
      <w:r w:rsidRPr="006D4D9C">
        <w:rPr>
          <w:rFonts w:cs="Times New Roman"/>
          <w:szCs w:val="24"/>
        </w:rPr>
        <w:t>67b ust. 7 ustawy o PROW 2014</w:t>
      </w:r>
      <w:r w:rsidRPr="006D4D9C">
        <w:rPr>
          <w:rFonts w:ascii="Symbol" w:eastAsia="Symbol" w:hAnsi="Symbol" w:cs="Symbol"/>
          <w:szCs w:val="24"/>
        </w:rPr>
        <w:t></w:t>
      </w:r>
      <w:r w:rsidRPr="006D4D9C">
        <w:rPr>
          <w:rFonts w:cs="Times New Roman"/>
          <w:szCs w:val="24"/>
        </w:rPr>
        <w:t xml:space="preserve">2020 </w:t>
      </w:r>
      <w:r w:rsidR="003B1457" w:rsidRPr="006D4D9C">
        <w:rPr>
          <w:rFonts w:cs="Times New Roman"/>
          <w:szCs w:val="24"/>
        </w:rPr>
        <w:t xml:space="preserve">również </w:t>
      </w:r>
      <w:r w:rsidRPr="006D4D9C">
        <w:rPr>
          <w:rFonts w:cs="Times New Roman"/>
          <w:szCs w:val="24"/>
        </w:rPr>
        <w:t xml:space="preserve">ma charakter techniczny i jest konsekwencją uchylenia </w:t>
      </w:r>
      <w:r w:rsidRPr="006D4D9C">
        <w:rPr>
          <w:rFonts w:eastAsia="Calibri" w:cs="Times New Roman"/>
          <w:szCs w:val="24"/>
        </w:rPr>
        <w:t xml:space="preserve">art. </w:t>
      </w:r>
      <w:r w:rsidRPr="006D4D9C">
        <w:rPr>
          <w:rFonts w:cs="Times New Roman"/>
          <w:szCs w:val="24"/>
        </w:rPr>
        <w:t>67b ust. 1, 2 i 6 tej ustawy.</w:t>
      </w:r>
    </w:p>
    <w:p w14:paraId="59CD8AF1" w14:textId="6B72AF3B" w:rsidR="005103B9" w:rsidRPr="006D4D9C" w:rsidRDefault="0023351A" w:rsidP="0050743E">
      <w:pPr>
        <w:spacing w:before="120" w:after="120"/>
        <w:ind w:firstLine="397"/>
        <w:jc w:val="both"/>
        <w:rPr>
          <w:rFonts w:eastAsia="Calibri" w:cs="Times New Roman"/>
          <w:szCs w:val="24"/>
          <w:lang w:eastAsia="en-US"/>
        </w:rPr>
      </w:pPr>
      <w:r w:rsidRPr="006D4D9C">
        <w:rPr>
          <w:rStyle w:val="Pogrubienie"/>
          <w:rFonts w:eastAsia="Times New Roman" w:cs="Times New Roman"/>
          <w:b w:val="0"/>
          <w:color w:val="000000"/>
          <w:szCs w:val="24"/>
          <w:lang w:eastAsia="en-US"/>
        </w:rPr>
        <w:t xml:space="preserve">Przepisy zaproponowane w art. 4 i 5 mają zapewnić płynność przejścia z obowiązującego stanu prawnego w stan prawny wynikający ze zmian proponowanych w ww. artykułach dotyczących </w:t>
      </w:r>
      <w:r w:rsidR="00BA7260" w:rsidRPr="006D4D9C">
        <w:rPr>
          <w:rStyle w:val="Pogrubienie"/>
          <w:rFonts w:eastAsia="Times New Roman" w:cs="Times New Roman"/>
          <w:b w:val="0"/>
          <w:color w:val="000000"/>
          <w:szCs w:val="24"/>
          <w:lang w:eastAsia="en-US"/>
        </w:rPr>
        <w:t xml:space="preserve">stosowania </w:t>
      </w:r>
      <w:r w:rsidRPr="006D4D9C">
        <w:rPr>
          <w:rStyle w:val="Pogrubienie"/>
          <w:rFonts w:eastAsia="Times New Roman" w:cs="Times New Roman"/>
          <w:b w:val="0"/>
          <w:color w:val="000000"/>
          <w:szCs w:val="24"/>
          <w:lang w:eastAsia="en-US"/>
        </w:rPr>
        <w:t xml:space="preserve">zdjęć </w:t>
      </w:r>
      <w:proofErr w:type="spellStart"/>
      <w:r w:rsidRPr="006D4D9C">
        <w:rPr>
          <w:rStyle w:val="Pogrubienie"/>
          <w:rFonts w:eastAsia="Times New Roman" w:cs="Times New Roman"/>
          <w:b w:val="0"/>
          <w:color w:val="000000"/>
          <w:szCs w:val="24"/>
          <w:lang w:eastAsia="en-US"/>
        </w:rPr>
        <w:t>geotagowanych</w:t>
      </w:r>
      <w:proofErr w:type="spellEnd"/>
      <w:r w:rsidRPr="006D4D9C">
        <w:rPr>
          <w:rStyle w:val="Pogrubienie"/>
          <w:rFonts w:eastAsia="Times New Roman" w:cs="Times New Roman"/>
          <w:b w:val="0"/>
          <w:color w:val="000000"/>
          <w:szCs w:val="24"/>
          <w:lang w:eastAsia="en-US"/>
        </w:rPr>
        <w:t xml:space="preserve">. W myśl projektowanych przepisów w sprawach </w:t>
      </w:r>
      <w:r w:rsidRPr="006D4D9C">
        <w:rPr>
          <w:rStyle w:val="Ppogrubienie"/>
          <w:rFonts w:eastAsia="Times New Roman" w:cs="Times New Roman"/>
          <w:b w:val="0"/>
          <w:color w:val="000000"/>
          <w:szCs w:val="24"/>
          <w:lang w:eastAsia="en-US"/>
        </w:rPr>
        <w:t xml:space="preserve">objętych postępowaniami wszczętymi i niezakończonymi przed dniem wejścia w życie niniejszej ustawy, będą zastosowane przepisy dotychczasowe obejmujące płatności </w:t>
      </w:r>
      <w:r w:rsidR="007A76BC" w:rsidRPr="006D4D9C">
        <w:rPr>
          <w:rStyle w:val="Ppogrubienie"/>
          <w:rFonts w:eastAsia="Times New Roman" w:cs="Times New Roman"/>
          <w:b w:val="0"/>
          <w:color w:val="000000"/>
          <w:szCs w:val="24"/>
          <w:lang w:eastAsia="en-US"/>
        </w:rPr>
        <w:br/>
      </w:r>
      <w:r w:rsidRPr="006D4D9C">
        <w:rPr>
          <w:rStyle w:val="Ppogrubienie"/>
          <w:rFonts w:eastAsia="Times New Roman" w:cs="Times New Roman"/>
          <w:b w:val="0"/>
          <w:color w:val="000000"/>
          <w:szCs w:val="24"/>
          <w:lang w:eastAsia="en-US"/>
        </w:rPr>
        <w:t xml:space="preserve">w ramach systemów wsparcia bezpośredniego oraz płatności PROW 2007-2013.  </w:t>
      </w:r>
      <w:r w:rsidRPr="006D4D9C">
        <w:rPr>
          <w:rStyle w:val="Pogrubienie"/>
          <w:rFonts w:eastAsia="Times New Roman" w:cs="Times New Roman"/>
          <w:b w:val="0"/>
          <w:color w:val="000000"/>
          <w:szCs w:val="24"/>
          <w:lang w:eastAsia="en-US"/>
        </w:rPr>
        <w:t xml:space="preserve"> </w:t>
      </w:r>
      <w:r w:rsidRPr="006D4D9C">
        <w:rPr>
          <w:rFonts w:eastAsia="Times New Roman" w:cs="Times New Roman"/>
        </w:rPr>
        <w:tab/>
      </w:r>
      <w:r w:rsidRPr="006D4D9C">
        <w:rPr>
          <w:rFonts w:eastAsia="Times New Roman" w:cs="Times New Roman"/>
        </w:rPr>
        <w:tab/>
      </w:r>
      <w:r w:rsidRPr="006D4D9C">
        <w:rPr>
          <w:rFonts w:eastAsia="Times New Roman" w:cs="Times New Roman"/>
        </w:rPr>
        <w:tab/>
      </w:r>
    </w:p>
    <w:p w14:paraId="23FA5FCC" w14:textId="524596E6" w:rsidR="000D201F" w:rsidRDefault="0023351A" w:rsidP="002D193A">
      <w:pPr>
        <w:spacing w:after="120"/>
        <w:ind w:firstLine="284"/>
        <w:jc w:val="both"/>
      </w:pPr>
      <w:r w:rsidRPr="006D4D9C">
        <w:rPr>
          <w:rStyle w:val="Ppogrubienie"/>
          <w:rFonts w:eastAsia="Times New Roman" w:cs="Times New Roman"/>
          <w:b w:val="0"/>
          <w:szCs w:val="24"/>
        </w:rPr>
        <w:t xml:space="preserve">W art. 6 zaproponowano </w:t>
      </w:r>
      <w:r w:rsidR="00635C91" w:rsidRPr="00F40ECD">
        <w:t>przepis</w:t>
      </w:r>
      <w:r w:rsidR="00643968" w:rsidRPr="00F40ECD">
        <w:t>y</w:t>
      </w:r>
      <w:r w:rsidR="00635C91" w:rsidRPr="00F40ECD">
        <w:t xml:space="preserve"> przejściow</w:t>
      </w:r>
      <w:r w:rsidR="00643968" w:rsidRPr="00F40ECD">
        <w:t xml:space="preserve">e w </w:t>
      </w:r>
      <w:r w:rsidR="007B6483" w:rsidRPr="00F40ECD">
        <w:t>odniesieniu</w:t>
      </w:r>
      <w:r w:rsidR="00643968" w:rsidRPr="00F40ECD">
        <w:t xml:space="preserve"> do ustawy </w:t>
      </w:r>
      <w:r w:rsidR="00BA7260" w:rsidRPr="00F40ECD">
        <w:rPr>
          <w:rStyle w:val="Ppogrubienie"/>
          <w:rFonts w:eastAsia="Times New Roman" w:cs="Times New Roman"/>
          <w:b w:val="0"/>
          <w:szCs w:val="24"/>
          <w:lang w:eastAsia="en-US"/>
        </w:rPr>
        <w:t xml:space="preserve">PROW 2014-2020.  </w:t>
      </w:r>
      <w:r w:rsidR="00BA7260" w:rsidRPr="00F40ECD">
        <w:rPr>
          <w:rStyle w:val="Pogrubienie"/>
          <w:rFonts w:eastAsia="Times New Roman" w:cs="Times New Roman"/>
          <w:b w:val="0"/>
          <w:szCs w:val="24"/>
          <w:lang w:eastAsia="en-US"/>
        </w:rPr>
        <w:t xml:space="preserve"> </w:t>
      </w:r>
      <w:r w:rsidR="00635C91" w:rsidRPr="00F40ECD">
        <w:t xml:space="preserve"> </w:t>
      </w:r>
      <w:r w:rsidR="00BA7260" w:rsidRPr="00F40ECD">
        <w:t xml:space="preserve">Zgodnie z ust. 1 </w:t>
      </w:r>
      <w:r w:rsidR="00635C91" w:rsidRPr="00F40ECD">
        <w:t>w odniesieniu do postępowa</w:t>
      </w:r>
      <w:r w:rsidR="000D201F" w:rsidRPr="00F40ECD">
        <w:t>ń</w:t>
      </w:r>
      <w:r w:rsidR="00635C91" w:rsidRPr="00F40ECD">
        <w:t xml:space="preserve"> w sprawie wyboru operacji partnera KSOW</w:t>
      </w:r>
      <w:r w:rsidR="00840DEF" w:rsidRPr="006D4D9C">
        <w:t xml:space="preserve">, </w:t>
      </w:r>
      <w:r w:rsidR="007A76BC" w:rsidRPr="006D4D9C">
        <w:br/>
      </w:r>
      <w:r w:rsidR="00840DEF" w:rsidRPr="006D4D9C">
        <w:t xml:space="preserve">w sprawach objętych postępowaniami wszczętymi i niezakończonymi przed dniem wejścia </w:t>
      </w:r>
      <w:r w:rsidR="007A76BC" w:rsidRPr="006D4D9C">
        <w:br/>
      </w:r>
      <w:r w:rsidR="00840DEF" w:rsidRPr="006D4D9C">
        <w:t>w życie niniejszej ustawy, stosuje się przepisy ustawy zmienianej w art. 3 w brzmieniu nadanym niniejszą ustawą.</w:t>
      </w:r>
      <w:r w:rsidR="00E81379" w:rsidRPr="006D4D9C">
        <w:t xml:space="preserve"> </w:t>
      </w:r>
      <w:r w:rsidR="00E81379" w:rsidRPr="00F40ECD">
        <w:t xml:space="preserve">Wprowadzane rozwiązanie jest korzystne zarówno dla partnerów KSOW składających wnioski w konkursie, jak i dla samorządów województw i CDR, które będą te wnioski oceniać. Możliwość składania dokumentów w formie elektronicznej dotyczy nie tylko wniosków o wybór operacji, ale także innych dokumentów w trakcie oceny tych wniosków, tj. ich korekt oraz wyjaśnień do treści wniosków. </w:t>
      </w:r>
      <w:r w:rsidR="002D193A" w:rsidRPr="006D4D9C">
        <w:t xml:space="preserve">Dlatego choć nie jest możliwe aby nowe przepisy dotyczyły złożenia elektronicznego wniosku o wybór operacji partnera KSOW, gdyż taki wniosek już został złożony skoro postępowanie jest wszczęte i niezakończone to mogą mieć </w:t>
      </w:r>
      <w:r w:rsidR="00E81379" w:rsidRPr="00F40ECD">
        <w:t>zastosowani</w:t>
      </w:r>
      <w:r w:rsidR="002D193A" w:rsidRPr="00F40ECD">
        <w:t>e w</w:t>
      </w:r>
      <w:r w:rsidR="00E81379" w:rsidRPr="00F40ECD">
        <w:t xml:space="preserve"> </w:t>
      </w:r>
      <w:r w:rsidR="002D193A" w:rsidRPr="00F40ECD">
        <w:t xml:space="preserve">pozostałych </w:t>
      </w:r>
      <w:r w:rsidR="002D193A" w:rsidRPr="006D4D9C">
        <w:t xml:space="preserve">przypadkach </w:t>
      </w:r>
      <w:r w:rsidR="00E81379" w:rsidRPr="00F40ECD">
        <w:t xml:space="preserve">obecnie trwającego konkursu na wybór operacji realizowanych w 2021 r., a nie wyłącznie do kolejnych konkursów. </w:t>
      </w:r>
    </w:p>
    <w:p w14:paraId="52BADB02" w14:textId="5CA65BFC" w:rsidR="00281567" w:rsidRPr="00281567" w:rsidRDefault="00281567" w:rsidP="00281567">
      <w:pPr>
        <w:spacing w:before="120" w:after="120"/>
        <w:ind w:firstLine="397"/>
        <w:jc w:val="both"/>
        <w:rPr>
          <w:rFonts w:cs="Times New Roman"/>
          <w:szCs w:val="24"/>
        </w:rPr>
      </w:pPr>
      <w:r w:rsidRPr="00281567">
        <w:rPr>
          <w:rStyle w:val="Pogrubienie"/>
          <w:rFonts w:eastAsia="Times New Roman" w:cs="Times New Roman"/>
          <w:b w:val="0"/>
          <w:color w:val="000000"/>
          <w:szCs w:val="24"/>
          <w:lang w:eastAsia="en-US"/>
        </w:rPr>
        <w:t xml:space="preserve">Rozwiązania zaproponowane </w:t>
      </w:r>
      <w:r>
        <w:t>w</w:t>
      </w:r>
      <w:r w:rsidRPr="00281567">
        <w:t xml:space="preserve"> ust. 2 </w:t>
      </w:r>
      <w:r w:rsidRPr="00281567">
        <w:rPr>
          <w:rStyle w:val="Pogrubienie"/>
          <w:rFonts w:eastAsia="Times New Roman" w:cs="Times New Roman"/>
          <w:b w:val="0"/>
          <w:color w:val="000000"/>
          <w:szCs w:val="24"/>
          <w:lang w:eastAsia="en-US"/>
        </w:rPr>
        <w:t xml:space="preserve">mają na celu zapewnienie okresu niezbędnego na należyte przygotowanie do wprowadzanych zmian zarówno </w:t>
      </w:r>
      <w:r w:rsidRPr="00281567">
        <w:rPr>
          <w:rStyle w:val="Pogrubienie"/>
          <w:rFonts w:eastAsia="Times New Roman" w:cs="Times New Roman"/>
          <w:b w:val="0"/>
          <w:color w:val="000000"/>
          <w:szCs w:val="24"/>
        </w:rPr>
        <w:t xml:space="preserve">podmiotów ubiegających się </w:t>
      </w:r>
      <w:r>
        <w:rPr>
          <w:rStyle w:val="Pogrubienie"/>
          <w:rFonts w:eastAsia="Times New Roman" w:cs="Times New Roman"/>
          <w:b w:val="0"/>
          <w:color w:val="000000"/>
          <w:szCs w:val="24"/>
        </w:rPr>
        <w:br/>
      </w:r>
      <w:r w:rsidRPr="00281567">
        <w:rPr>
          <w:rStyle w:val="Pogrubienie"/>
          <w:rFonts w:eastAsia="Times New Roman" w:cs="Times New Roman"/>
          <w:b w:val="0"/>
          <w:color w:val="000000"/>
          <w:szCs w:val="24"/>
        </w:rPr>
        <w:t xml:space="preserve">o przyznanie pomocy lub pomocy technicznej w ramach </w:t>
      </w:r>
      <w:r w:rsidRPr="00281567">
        <w:rPr>
          <w:rStyle w:val="Pogrubienie"/>
          <w:rFonts w:eastAsia="Times New Roman" w:cs="Times New Roman"/>
          <w:b w:val="0"/>
          <w:color w:val="000000"/>
          <w:szCs w:val="24"/>
          <w:lang w:eastAsia="en-US"/>
        </w:rPr>
        <w:t>Programu Rozwoju Obszarów Wiejskich na lata 2014</w:t>
      </w:r>
      <w:r w:rsidRPr="00281567">
        <w:rPr>
          <w:rStyle w:val="Pogrubienie"/>
          <w:rFonts w:ascii="Symbol" w:eastAsia="Symbol" w:hAnsi="Symbol" w:cs="Symbol"/>
          <w:b w:val="0"/>
          <w:color w:val="000000"/>
          <w:szCs w:val="24"/>
          <w:lang w:eastAsia="en-US"/>
        </w:rPr>
        <w:t></w:t>
      </w:r>
      <w:r w:rsidRPr="00281567">
        <w:rPr>
          <w:rStyle w:val="Pogrubienie"/>
          <w:rFonts w:eastAsia="Times New Roman" w:cs="Times New Roman"/>
          <w:b w:val="0"/>
          <w:color w:val="000000"/>
          <w:szCs w:val="24"/>
          <w:lang w:eastAsia="en-US"/>
        </w:rPr>
        <w:t xml:space="preserve">2020, jak również podmiotów właściwych w sprawie o przyznanie tej </w:t>
      </w:r>
      <w:r w:rsidRPr="00281567">
        <w:rPr>
          <w:rStyle w:val="Pogrubienie"/>
          <w:rFonts w:eastAsia="Times New Roman" w:cs="Times New Roman"/>
          <w:b w:val="0"/>
          <w:color w:val="000000"/>
          <w:szCs w:val="24"/>
          <w:lang w:eastAsia="en-US"/>
        </w:rPr>
        <w:lastRenderedPageBreak/>
        <w:t>pomocy lub pomocy technicznej.</w:t>
      </w:r>
    </w:p>
    <w:p w14:paraId="5739DD7D" w14:textId="609A026F" w:rsidR="005103B9" w:rsidRPr="006D4D9C" w:rsidRDefault="0023351A">
      <w:pPr>
        <w:spacing w:after="120"/>
        <w:ind w:firstLine="284"/>
        <w:jc w:val="both"/>
        <w:rPr>
          <w:rFonts w:cs="Times New Roman"/>
          <w:bCs/>
        </w:rPr>
      </w:pPr>
      <w:r w:rsidRPr="006D4D9C">
        <w:rPr>
          <w:rFonts w:eastAsia="Calibri" w:cs="Times New Roman"/>
          <w:szCs w:val="24"/>
          <w:lang w:eastAsia="en-US"/>
        </w:rPr>
        <w:t xml:space="preserve">W art. 7 proponuje się, aby zmiana ustawy weszła w życie z dniem 15 marca 2021 r. </w:t>
      </w:r>
      <w:r w:rsidRPr="006D4D9C">
        <w:rPr>
          <w:rFonts w:cs="Times New Roman"/>
          <w:bCs/>
        </w:rPr>
        <w:t>Termin ten jest konieczny z uwagi na to, że jest to termin rozpoczęcia kampanii składania wniosków o przyznanie płatności.</w:t>
      </w:r>
    </w:p>
    <w:p w14:paraId="61F2F015" w14:textId="77777777" w:rsidR="005103B9" w:rsidRPr="006D4D9C" w:rsidRDefault="0023351A">
      <w:pPr>
        <w:pStyle w:val="LITlitera"/>
        <w:spacing w:after="120"/>
        <w:ind w:left="0" w:firstLine="0"/>
        <w:rPr>
          <w:rFonts w:ascii="Times New Roman" w:eastAsia="Times New Roman" w:hAnsi="Times New Roman" w:cs="Times New Roman"/>
          <w:bCs w:val="0"/>
          <w:szCs w:val="24"/>
          <w:lang w:eastAsia="en-US"/>
        </w:rPr>
      </w:pPr>
      <w:r w:rsidRPr="006D4D9C">
        <w:rPr>
          <w:rFonts w:ascii="Times New Roman" w:eastAsia="Calibri" w:hAnsi="Times New Roman" w:cs="Times New Roman"/>
          <w:szCs w:val="24"/>
          <w:lang w:eastAsia="en-US"/>
        </w:rPr>
        <w:t xml:space="preserve">Proponowany termin wejścia w życie ustawy nie narusza zasad demokratycznego państwa prawnego. </w:t>
      </w:r>
    </w:p>
    <w:p w14:paraId="3FF13025" w14:textId="77777777" w:rsidR="005103B9" w:rsidRPr="006D4D9C" w:rsidRDefault="0023351A">
      <w:pPr>
        <w:pStyle w:val="USTustnpkodeksu"/>
        <w:rPr>
          <w:szCs w:val="24"/>
        </w:rPr>
      </w:pPr>
      <w:r w:rsidRPr="006D4D9C">
        <w:rPr>
          <w:rFonts w:ascii="Times New Roman" w:hAnsi="Times New Roman"/>
          <w:szCs w:val="24"/>
        </w:rPr>
        <w:t>Projekt nie spowoduje zwiększenia wydatków z budżetu państwa ani z budżetów jednostek samorządu terytorialnego. Nie wpłynie na konkurencyjność gospodarki.</w:t>
      </w:r>
    </w:p>
    <w:p w14:paraId="22D0BF1B" w14:textId="77777777" w:rsidR="005103B9" w:rsidRPr="006D4D9C" w:rsidRDefault="0023351A">
      <w:pPr>
        <w:spacing w:before="120"/>
        <w:ind w:firstLine="510"/>
        <w:jc w:val="both"/>
        <w:rPr>
          <w:rFonts w:ascii="Times" w:hAnsi="Times"/>
          <w:bCs/>
        </w:rPr>
      </w:pPr>
      <w:r w:rsidRPr="006D4D9C">
        <w:rPr>
          <w:bCs/>
          <w:szCs w:val="24"/>
        </w:rPr>
        <w:t>Projektowane przepisy nie będą miały wpływu na sektor mikro-, małych i średnich przedsiębiorstw.</w:t>
      </w:r>
    </w:p>
    <w:p w14:paraId="3D40231C" w14:textId="77777777" w:rsidR="005103B9" w:rsidRPr="006D4D9C" w:rsidRDefault="0023351A">
      <w:pPr>
        <w:spacing w:before="120"/>
        <w:ind w:firstLine="510"/>
        <w:jc w:val="both"/>
      </w:pPr>
      <w:r w:rsidRPr="006D4D9C">
        <w:rPr>
          <w:bCs/>
          <w:szCs w:val="24"/>
        </w:rPr>
        <w:t>Projektowane przepisy nie będą miały wpływu na sytuację ekonomiczną i społeczną rodziny, a także osób niepełnosprawnych oraz osób starszych.</w:t>
      </w:r>
    </w:p>
    <w:p w14:paraId="608FBAC4" w14:textId="77777777" w:rsidR="005103B9" w:rsidRPr="006D4D9C" w:rsidRDefault="0023351A">
      <w:pPr>
        <w:pStyle w:val="USTustnpkodeksu"/>
        <w:rPr>
          <w:szCs w:val="24"/>
        </w:rPr>
      </w:pPr>
      <w:r w:rsidRPr="006D4D9C">
        <w:rPr>
          <w:rFonts w:ascii="Times New Roman" w:hAnsi="Times New Roman"/>
          <w:szCs w:val="24"/>
        </w:rPr>
        <w:t xml:space="preserve">Projekt jest zgodny z prawem Unii Europejskiej. </w:t>
      </w:r>
    </w:p>
    <w:p w14:paraId="04FCE9FE" w14:textId="77777777" w:rsidR="005103B9" w:rsidRPr="006D4D9C" w:rsidRDefault="0023351A">
      <w:pPr>
        <w:pStyle w:val="USTustnpkodeksu"/>
        <w:rPr>
          <w:szCs w:val="24"/>
        </w:rPr>
      </w:pPr>
      <w:r w:rsidRPr="006D4D9C">
        <w:rPr>
          <w:rFonts w:ascii="Times New Roman" w:hAnsi="Times New Roman"/>
          <w:szCs w:val="24"/>
        </w:rPr>
        <w:t xml:space="preserve">Zgodnie z art. 5 ustawy z dnia 7 lipca 2005 r. o działalności lobbingowej w procesie stanowienia prawa (Dz. U. z 2017 r. poz. 248) projekt ustawy zostanie zamieszczony na stronie internetowej Biuletynu Informacji Publicznej Ministerstwa Rolnictwa i Rozwoju Wsi oraz Rządowego Centrum Legislacji. </w:t>
      </w:r>
    </w:p>
    <w:p w14:paraId="75A96141" w14:textId="77777777" w:rsidR="005103B9" w:rsidRPr="006D4D9C" w:rsidRDefault="0023351A">
      <w:pPr>
        <w:spacing w:before="120"/>
        <w:ind w:firstLine="510"/>
        <w:jc w:val="both"/>
        <w:rPr>
          <w:rFonts w:ascii="Times" w:hAnsi="Times"/>
          <w:bCs/>
        </w:rPr>
      </w:pPr>
      <w:r w:rsidRPr="006D4D9C">
        <w:rPr>
          <w:bCs/>
          <w:szCs w:val="24"/>
        </w:rPr>
        <w:t xml:space="preserve">Projekt ustawy nie wymaga przedstawienia organom i instytucjom Unii Europejskiej, </w:t>
      </w:r>
      <w:r w:rsidRPr="006D4D9C">
        <w:rPr>
          <w:bCs/>
          <w:szCs w:val="24"/>
        </w:rPr>
        <w:br/>
        <w:t xml:space="preserve">w tym Europejskiemu Bankowi Centralnemu w trybie § 27 ust. 4 uchwały Nr 190 Rady Ministrów z dnia 29 października 2013 r. – Regulamin pracy Rady Ministrów (M. P. z 2016 r. poz. 1006, z </w:t>
      </w:r>
      <w:proofErr w:type="spellStart"/>
      <w:r w:rsidRPr="006D4D9C">
        <w:rPr>
          <w:bCs/>
          <w:szCs w:val="24"/>
        </w:rPr>
        <w:t>późn</w:t>
      </w:r>
      <w:proofErr w:type="spellEnd"/>
      <w:r w:rsidRPr="006D4D9C">
        <w:rPr>
          <w:bCs/>
          <w:szCs w:val="24"/>
        </w:rPr>
        <w:t>. zm.).</w:t>
      </w:r>
    </w:p>
    <w:p w14:paraId="7E04EC5A" w14:textId="77777777" w:rsidR="005103B9" w:rsidRPr="006D4D9C" w:rsidRDefault="0023351A">
      <w:pPr>
        <w:pStyle w:val="USTustnpkodeksu"/>
        <w:rPr>
          <w:szCs w:val="24"/>
        </w:rPr>
      </w:pPr>
      <w:r w:rsidRPr="006D4D9C">
        <w:rPr>
          <w:rFonts w:ascii="Times New Roman" w:hAnsi="Times New Roman"/>
          <w:szCs w:val="24"/>
        </w:rPr>
        <w:t xml:space="preserve">Projekt ustawy nie zawiera przepisów technicznych, w związku z tym nie podlega notyfikacji w rozumieniu przepisów rozporządzenia Rady Ministrów z dnia 23 grudnia 2002 r. w sprawie sposobu funkcjonowania krajowego systemu notyfikacji norm i aktów prawnych (Dz. U. poz. 2039, z </w:t>
      </w:r>
      <w:proofErr w:type="spellStart"/>
      <w:r w:rsidRPr="006D4D9C">
        <w:rPr>
          <w:rFonts w:ascii="Times New Roman" w:hAnsi="Times New Roman"/>
          <w:szCs w:val="24"/>
        </w:rPr>
        <w:t>późn</w:t>
      </w:r>
      <w:proofErr w:type="spellEnd"/>
      <w:r w:rsidRPr="006D4D9C">
        <w:rPr>
          <w:rFonts w:ascii="Times New Roman" w:hAnsi="Times New Roman"/>
          <w:szCs w:val="24"/>
        </w:rPr>
        <w:t xml:space="preserve">. zm.). </w:t>
      </w:r>
    </w:p>
    <w:p w14:paraId="1DEC2EB6" w14:textId="2277286C" w:rsidR="005103B9" w:rsidRDefault="0023351A">
      <w:pPr>
        <w:pStyle w:val="USTustnpkodeksu"/>
        <w:rPr>
          <w:szCs w:val="24"/>
        </w:rPr>
      </w:pPr>
      <w:r w:rsidRPr="006D4D9C">
        <w:rPr>
          <w:rFonts w:ascii="Times New Roman" w:hAnsi="Times New Roman"/>
          <w:szCs w:val="24"/>
        </w:rPr>
        <w:t>Projekt ustawy został umieszczony w Wykazie prac legislacyjnych i programowych Rady Ministrów.</w:t>
      </w:r>
    </w:p>
    <w:p w14:paraId="08C8B2E5" w14:textId="77777777" w:rsidR="005103B9" w:rsidRDefault="005103B9">
      <w:pPr>
        <w:pStyle w:val="USTustnpkodeksu"/>
        <w:spacing w:before="120"/>
        <w:rPr>
          <w:szCs w:val="24"/>
        </w:rPr>
      </w:pPr>
    </w:p>
    <w:sectPr w:rsidR="005103B9">
      <w:headerReference w:type="default" r:id="rId9"/>
      <w:pgSz w:w="11906" w:h="16838"/>
      <w:pgMar w:top="1560" w:right="1434" w:bottom="1560" w:left="1418" w:header="709" w:footer="0" w:gutter="0"/>
      <w:cols w:space="708"/>
      <w:formProt w:val="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FAFF4" w14:textId="77777777" w:rsidR="00D83C8D" w:rsidRDefault="00D83C8D">
      <w:pPr>
        <w:spacing w:line="240" w:lineRule="auto"/>
      </w:pPr>
      <w:r>
        <w:separator/>
      </w:r>
    </w:p>
  </w:endnote>
  <w:endnote w:type="continuationSeparator" w:id="0">
    <w:p w14:paraId="63FCA16D" w14:textId="77777777" w:rsidR="00D83C8D" w:rsidRDefault="00D83C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F7A9B" w14:textId="77777777" w:rsidR="00D83C8D" w:rsidRDefault="00D83C8D">
      <w:pPr>
        <w:spacing w:line="240" w:lineRule="auto"/>
      </w:pPr>
      <w:r>
        <w:separator/>
      </w:r>
    </w:p>
  </w:footnote>
  <w:footnote w:type="continuationSeparator" w:id="0">
    <w:p w14:paraId="01B2B6BA" w14:textId="77777777" w:rsidR="00D83C8D" w:rsidRDefault="00D83C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AFD32" w14:textId="567C886C" w:rsidR="005103B9" w:rsidRDefault="0023351A">
    <w:pPr>
      <w:pStyle w:val="Nagwek"/>
      <w:jc w:val="center"/>
    </w:pPr>
    <w:r>
      <w:t xml:space="preserve">– </w:t>
    </w:r>
    <w:r>
      <w:fldChar w:fldCharType="begin"/>
    </w:r>
    <w:r>
      <w:instrText>PAGE</w:instrText>
    </w:r>
    <w:r>
      <w:fldChar w:fldCharType="separate"/>
    </w:r>
    <w:r w:rsidR="00CA74DB">
      <w:rPr>
        <w:noProof/>
      </w:rPr>
      <w:t>9</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B4A"/>
    <w:multiLevelType w:val="multilevel"/>
    <w:tmpl w:val="1E9EE1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4A14E8C"/>
    <w:multiLevelType w:val="multilevel"/>
    <w:tmpl w:val="483CA5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F2D1581"/>
    <w:multiLevelType w:val="multilevel"/>
    <w:tmpl w:val="4F0284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7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B9"/>
    <w:rsid w:val="00006F23"/>
    <w:rsid w:val="000D201F"/>
    <w:rsid w:val="00194C05"/>
    <w:rsid w:val="0023351A"/>
    <w:rsid w:val="00281567"/>
    <w:rsid w:val="00290ECE"/>
    <w:rsid w:val="002D193A"/>
    <w:rsid w:val="003B1457"/>
    <w:rsid w:val="00505D98"/>
    <w:rsid w:val="0050743E"/>
    <w:rsid w:val="005103B9"/>
    <w:rsid w:val="006146F4"/>
    <w:rsid w:val="00635C91"/>
    <w:rsid w:val="00643968"/>
    <w:rsid w:val="00661C7C"/>
    <w:rsid w:val="006730AE"/>
    <w:rsid w:val="006D4D9C"/>
    <w:rsid w:val="00732030"/>
    <w:rsid w:val="00743A42"/>
    <w:rsid w:val="007A76BC"/>
    <w:rsid w:val="007B6483"/>
    <w:rsid w:val="00840DEF"/>
    <w:rsid w:val="009337BB"/>
    <w:rsid w:val="00A70DC1"/>
    <w:rsid w:val="00BA7260"/>
    <w:rsid w:val="00BD680F"/>
    <w:rsid w:val="00C629BB"/>
    <w:rsid w:val="00C84414"/>
    <w:rsid w:val="00CA74DB"/>
    <w:rsid w:val="00D83C8D"/>
    <w:rsid w:val="00DD385B"/>
    <w:rsid w:val="00E81379"/>
    <w:rsid w:val="00F40ECD"/>
    <w:rsid w:val="00F41EC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F293"/>
  <w15:docId w15:val="{D655A07D-4797-4F9C-B80D-42600BE2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Cs w:val="24"/>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4624"/>
    <w:pPr>
      <w:widowControl w:val="0"/>
      <w:spacing w:line="360" w:lineRule="auto"/>
    </w:pPr>
    <w:rPr>
      <w:rFonts w:ascii="Times New Roman" w:eastAsiaTheme="minorEastAsia" w:hAnsi="Times New Roman" w:cs="Arial"/>
      <w:sz w:val="24"/>
      <w:szCs w:val="20"/>
    </w:rPr>
  </w:style>
  <w:style w:type="paragraph" w:styleId="Nagwek1">
    <w:name w:val="heading 1"/>
    <w:basedOn w:val="Normalny"/>
    <w:next w:val="Normalny"/>
    <w:link w:val="Nagwek1Znak"/>
    <w:uiPriority w:val="99"/>
    <w:semiHidden/>
    <w:qFormat/>
    <w:rsid w:val="001E1E73"/>
    <w:pPr>
      <w:keepNext/>
      <w:keepLines/>
      <w:spacing w:before="480"/>
      <w:outlineLvl w:val="0"/>
    </w:pPr>
    <w:rPr>
      <w:rFonts w:asciiTheme="majorHAnsi" w:eastAsiaTheme="majorEastAsia" w:hAnsiTheme="majorHAnsi" w:cstheme="majorBidi"/>
      <w:b/>
      <w:bCs/>
      <w:color w:val="365F91" w:themeColor="accent1" w:themeShade="BF"/>
      <w:kern w:val="2"/>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semiHidden/>
    <w:qFormat/>
    <w:rsid w:val="004C3F97"/>
    <w:rPr>
      <w:rFonts w:cs="Times New Roman"/>
      <w:vertAlign w:val="superscript"/>
    </w:rPr>
  </w:style>
  <w:style w:type="character" w:customStyle="1" w:styleId="NagwekZnak">
    <w:name w:val="Nagłówek Znak"/>
    <w:link w:val="Nagwek"/>
    <w:uiPriority w:val="99"/>
    <w:semiHidden/>
    <w:qFormat/>
    <w:rsid w:val="00060076"/>
    <w:rPr>
      <w:rFonts w:eastAsiaTheme="minorEastAsia" w:cs="Arial"/>
      <w:kern w:val="2"/>
      <w:sz w:val="20"/>
      <w:szCs w:val="20"/>
      <w:lang w:eastAsia="ar-SA"/>
    </w:rPr>
  </w:style>
  <w:style w:type="character" w:customStyle="1" w:styleId="StopkaZnak">
    <w:name w:val="Stopka Znak"/>
    <w:link w:val="Stopka"/>
    <w:uiPriority w:val="99"/>
    <w:qFormat/>
    <w:rsid w:val="00060076"/>
    <w:rPr>
      <w:rFonts w:eastAsiaTheme="minorEastAsia" w:cs="Arial"/>
      <w:kern w:val="2"/>
      <w:sz w:val="20"/>
      <w:szCs w:val="20"/>
      <w:lang w:eastAsia="ar-SA"/>
    </w:rPr>
  </w:style>
  <w:style w:type="character" w:customStyle="1" w:styleId="TekstdymkaZnak">
    <w:name w:val="Tekst dymka Znak"/>
    <w:link w:val="Tekstdymka"/>
    <w:uiPriority w:val="99"/>
    <w:semiHidden/>
    <w:qFormat/>
    <w:rsid w:val="004C3F97"/>
    <w:rPr>
      <w:rFonts w:ascii="Tahoma" w:eastAsiaTheme="minorEastAsia" w:hAnsi="Tahoma" w:cs="Tahoma"/>
      <w:kern w:val="2"/>
      <w:sz w:val="16"/>
      <w:szCs w:val="16"/>
      <w:lang w:eastAsia="ar-SA"/>
    </w:rPr>
  </w:style>
  <w:style w:type="character" w:customStyle="1" w:styleId="Nagwek1Znak">
    <w:name w:val="Nagłówek 1 Znak"/>
    <w:basedOn w:val="Domylnaczcionkaakapitu"/>
    <w:link w:val="Nagwek1"/>
    <w:uiPriority w:val="99"/>
    <w:semiHidden/>
    <w:qFormat/>
    <w:rsid w:val="004504C0"/>
    <w:rPr>
      <w:rFonts w:asciiTheme="majorHAnsi" w:eastAsiaTheme="majorEastAsia" w:hAnsiTheme="majorHAnsi" w:cstheme="majorBidi"/>
      <w:b/>
      <w:bCs/>
      <w:color w:val="365F91" w:themeColor="accent1" w:themeShade="BF"/>
      <w:kern w:val="2"/>
      <w:sz w:val="28"/>
      <w:szCs w:val="28"/>
      <w:lang w:eastAsia="ar-SA"/>
    </w:rPr>
  </w:style>
  <w:style w:type="character" w:customStyle="1" w:styleId="TekstprzypisudolnegoZnak">
    <w:name w:val="Tekst przypisu dolnego Znak"/>
    <w:basedOn w:val="Domylnaczcionkaakapitu"/>
    <w:link w:val="Tekstprzypisudolnego"/>
    <w:uiPriority w:val="99"/>
    <w:semiHidden/>
    <w:qFormat/>
    <w:rsid w:val="006E0FCC"/>
    <w:rPr>
      <w:sz w:val="20"/>
    </w:rPr>
  </w:style>
  <w:style w:type="character" w:styleId="Odwoaniedokomentarza">
    <w:name w:val="annotation reference"/>
    <w:basedOn w:val="Domylnaczcionkaakapitu"/>
    <w:uiPriority w:val="99"/>
    <w:semiHidden/>
    <w:qFormat/>
    <w:rsid w:val="00023F13"/>
    <w:rPr>
      <w:sz w:val="16"/>
      <w:szCs w:val="16"/>
    </w:rPr>
  </w:style>
  <w:style w:type="character" w:customStyle="1" w:styleId="TekstkomentarzaZnak">
    <w:name w:val="Tekst komentarza Znak"/>
    <w:basedOn w:val="Domylnaczcionkaakapitu"/>
    <w:link w:val="Tekstkomentarza"/>
    <w:uiPriority w:val="99"/>
    <w:semiHidden/>
    <w:qFormat/>
    <w:rsid w:val="004504C0"/>
    <w:rPr>
      <w:sz w:val="20"/>
    </w:rPr>
  </w:style>
  <w:style w:type="character" w:customStyle="1" w:styleId="TematkomentarzaZnak">
    <w:name w:val="Temat komentarza Znak"/>
    <w:basedOn w:val="TekstkomentarzaZnak"/>
    <w:link w:val="Tematkomentarza"/>
    <w:uiPriority w:val="99"/>
    <w:semiHidden/>
    <w:qFormat/>
    <w:rsid w:val="004504C0"/>
    <w:rPr>
      <w:b/>
      <w:bCs/>
      <w:sz w:val="20"/>
    </w:r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vertAlign w:val="superscript"/>
    </w:rPr>
  </w:style>
  <w:style w:type="character" w:styleId="Tekstzastpczy">
    <w:name w:val="Placeholder Text"/>
    <w:basedOn w:val="Domylnaczcionkaakapitu"/>
    <w:uiPriority w:val="99"/>
    <w:semiHidden/>
    <w:qFormat/>
    <w:rsid w:val="00341A6A"/>
    <w:rPr>
      <w:color w:val="808080"/>
    </w:rPr>
  </w:style>
  <w:style w:type="character" w:customStyle="1" w:styleId="czeinternetowe">
    <w:name w:val="Łącze internetowe"/>
    <w:basedOn w:val="Domylnaczcionkaakapitu"/>
    <w:uiPriority w:val="99"/>
    <w:unhideWhenUsed/>
    <w:rsid w:val="00F14624"/>
    <w:rPr>
      <w:color w:val="0000FF" w:themeColor="hyperlink"/>
      <w:u w:val="single"/>
    </w:rPr>
  </w:style>
  <w:style w:type="character" w:customStyle="1" w:styleId="tlid-translation">
    <w:name w:val="tlid-translation"/>
    <w:basedOn w:val="Domylnaczcionkaakapitu"/>
    <w:qFormat/>
    <w:rsid w:val="002A4F61"/>
  </w:style>
  <w:style w:type="character" w:customStyle="1" w:styleId="HTML-wstpniesformatowanyZnak">
    <w:name w:val="HTML - wstępnie sformatowany Znak"/>
    <w:basedOn w:val="Domylnaczcionkaakapitu"/>
    <w:uiPriority w:val="99"/>
    <w:qFormat/>
    <w:rsid w:val="002A4F61"/>
    <w:rPr>
      <w:rFonts w:ascii="Courier New" w:hAnsi="Courier New" w:cs="Courier New"/>
      <w:sz w:val="20"/>
      <w:szCs w:val="20"/>
    </w:rPr>
  </w:style>
  <w:style w:type="character" w:customStyle="1" w:styleId="Znakiprzypiswdolnych">
    <w:name w:val="Znaki przypisów dolnych"/>
    <w:qFormat/>
  </w:style>
  <w:style w:type="character" w:customStyle="1" w:styleId="spelle">
    <w:name w:val="spelle"/>
    <w:basedOn w:val="Domylnaczcionkaakapitu"/>
    <w:qFormat/>
    <w:rsid w:val="00F9345A"/>
  </w:style>
  <w:style w:type="character" w:customStyle="1" w:styleId="Wyrnienie">
    <w:name w:val="Wyróżnienie"/>
    <w:basedOn w:val="Domylnaczcionkaakapitu"/>
    <w:uiPriority w:val="20"/>
    <w:qFormat/>
    <w:rsid w:val="00EE65F6"/>
    <w:rPr>
      <w:i/>
      <w:iCs/>
    </w:rPr>
  </w:style>
  <w:style w:type="character" w:styleId="Pogrubienie">
    <w:name w:val="Strong"/>
    <w:basedOn w:val="Domylnaczcionkaakapitu"/>
    <w:uiPriority w:val="22"/>
    <w:qFormat/>
    <w:rsid w:val="00EE65F6"/>
    <w:rPr>
      <w:b/>
      <w:bCs/>
    </w:rPr>
  </w:style>
  <w:style w:type="paragraph" w:styleId="Nagwek">
    <w:name w:val="header"/>
    <w:basedOn w:val="Normalny"/>
    <w:next w:val="Tekstpodstawowy"/>
    <w:link w:val="NagwekZnak"/>
    <w:uiPriority w:val="99"/>
    <w:semiHidden/>
    <w:rsid w:val="004C3F97"/>
    <w:pPr>
      <w:tabs>
        <w:tab w:val="center" w:pos="4536"/>
        <w:tab w:val="right" w:pos="9072"/>
      </w:tabs>
    </w:pPr>
    <w:rPr>
      <w:rFonts w:ascii="Times" w:eastAsia="Times New Roman" w:hAnsi="Times" w:cs="Times New Roman"/>
      <w:kern w:val="2"/>
      <w:szCs w:val="24"/>
      <w:lang w:eastAsia="ar-SA"/>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Cs w:val="24"/>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ZLITwPKTzmlitwpktartykuempunktem">
    <w:name w:val="Z/LIT_w_PKT – zm. lit. w pkt artykułem (punktem)"/>
    <w:basedOn w:val="LITlitera"/>
    <w:uiPriority w:val="32"/>
    <w:qFormat/>
    <w:rsid w:val="006A748A"/>
    <w:pPr>
      <w:ind w:left="1497" w:firstLine="0"/>
    </w:pPr>
  </w:style>
  <w:style w:type="paragraph" w:customStyle="1" w:styleId="ZTIRwPKTzmtirwpktartykuempunktem">
    <w:name w:val="Z/TIR_w_PKT – zm. tir. w pkt artykułem (punktem)"/>
    <w:basedOn w:val="TIRtiret"/>
    <w:uiPriority w:val="33"/>
    <w:qFormat/>
    <w:rsid w:val="006A748A"/>
    <w:pPr>
      <w:ind w:left="1894" w:firstLine="0"/>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firstLine="0"/>
    </w:pPr>
  </w:style>
  <w:style w:type="paragraph" w:styleId="Stopka">
    <w:name w:val="footer"/>
    <w:basedOn w:val="Normalny"/>
    <w:link w:val="StopkaZnak"/>
    <w:uiPriority w:val="99"/>
    <w:rsid w:val="004C3F97"/>
    <w:pPr>
      <w:tabs>
        <w:tab w:val="center" w:pos="4536"/>
        <w:tab w:val="right" w:pos="9072"/>
      </w:tabs>
    </w:pPr>
    <w:rPr>
      <w:rFonts w:ascii="Times" w:eastAsia="Times New Roman" w:hAnsi="Times" w:cs="Times New Roman"/>
      <w:kern w:val="2"/>
      <w:szCs w:val="24"/>
      <w:lang w:eastAsia="ar-SA"/>
    </w:rPr>
  </w:style>
  <w:style w:type="paragraph" w:styleId="Tekstdymka">
    <w:name w:val="Balloon Text"/>
    <w:basedOn w:val="Normalny"/>
    <w:link w:val="TekstdymkaZnak"/>
    <w:uiPriority w:val="99"/>
    <w:semiHidden/>
    <w:qFormat/>
    <w:rsid w:val="004C3F97"/>
    <w:rPr>
      <w:rFonts w:ascii="Tahoma" w:eastAsia="Times New Roman" w:hAnsi="Tahoma" w:cs="Tahoma"/>
      <w:kern w:val="2"/>
      <w:szCs w:val="16"/>
      <w:lang w:eastAsia="ar-SA"/>
    </w:rPr>
  </w:style>
  <w:style w:type="paragraph" w:customStyle="1" w:styleId="ARTartustawynprozporzdzenia">
    <w:name w:val="ART(§) – art. ustawy (§ np. rozporządzenia)"/>
    <w:uiPriority w:val="11"/>
    <w:qFormat/>
    <w:rsid w:val="006A748A"/>
    <w:pPr>
      <w:spacing w:before="120" w:line="360" w:lineRule="auto"/>
      <w:ind w:firstLine="510"/>
      <w:jc w:val="both"/>
    </w:pPr>
    <w:rPr>
      <w:rFonts w:eastAsiaTheme="minorEastAsia" w:cs="Arial"/>
      <w:sz w:val="24"/>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styleId="Bezodstpw">
    <w:name w:val="No Spacing"/>
    <w:uiPriority w:val="99"/>
    <w:semiHidden/>
    <w:qFormat/>
    <w:rsid w:val="004C3F97"/>
    <w:pPr>
      <w:widowControl w:val="0"/>
      <w:spacing w:line="360" w:lineRule="auto"/>
    </w:pPr>
    <w:rPr>
      <w:kern w:val="2"/>
      <w:sz w:val="24"/>
      <w:lang w:eastAsia="ar-SA"/>
    </w:rPr>
  </w:style>
  <w:style w:type="paragraph" w:customStyle="1" w:styleId="ZPKTzmpktartykuempunktem">
    <w:name w:val="Z/PKT – zm. pkt artykułem (punktem)"/>
    <w:basedOn w:val="PKTpunkt"/>
    <w:uiPriority w:val="31"/>
    <w:qFormat/>
    <w:rsid w:val="006A748A"/>
    <w:pPr>
      <w:ind w:left="1020" w:firstLine="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pacing w:before="120" w:after="120" w:line="360" w:lineRule="auto"/>
      <w:jc w:val="center"/>
    </w:pPr>
    <w:rPr>
      <w:rFonts w:eastAsiaTheme="minorEastAsia" w:cs="Arial"/>
      <w:bCs/>
      <w:sz w:val="24"/>
    </w:rPr>
  </w:style>
  <w:style w:type="paragraph" w:customStyle="1" w:styleId="TYTUAKTUprzedmiotregulacjiustawylubrozporzdzenia">
    <w:name w:val="TYTUŁ_AKTU – przedmiot regulacji ustawy lub rozporządzenia"/>
    <w:next w:val="ARTartustawynprozporzdzenia"/>
    <w:uiPriority w:val="6"/>
    <w:qFormat/>
    <w:rsid w:val="006A748A"/>
    <w:pPr>
      <w:keepNext/>
      <w:spacing w:before="120" w:after="360" w:line="360" w:lineRule="auto"/>
      <w:jc w:val="center"/>
    </w:pPr>
    <w:rPr>
      <w:rFonts w:eastAsiaTheme="minorEastAsia" w:cs="Arial"/>
      <w:b/>
      <w:bCs/>
      <w:sz w:val="24"/>
    </w:rPr>
  </w:style>
  <w:style w:type="paragraph" w:customStyle="1" w:styleId="CZKSIGAoznaczenieiprzedmiotczcilubksigi">
    <w:name w:val="CZĘŚĆ(KSIĘGA) – oznaczenie i przedmiot części lub księgi"/>
    <w:next w:val="ARTartustawynprozporzdzenia"/>
    <w:uiPriority w:val="8"/>
    <w:qFormat/>
    <w:rsid w:val="006A748A"/>
    <w:pPr>
      <w:keepNext/>
      <w:spacing w:before="120" w:line="360" w:lineRule="auto"/>
      <w:jc w:val="center"/>
    </w:pPr>
    <w:rPr>
      <w:b/>
      <w:bCs/>
      <w:caps/>
      <w:kern w:val="2"/>
      <w:sz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pacing w:after="120" w:line="360" w:lineRule="auto"/>
      <w:jc w:val="center"/>
    </w:pPr>
    <w:rPr>
      <w:b/>
      <w:bCs/>
      <w:caps/>
      <w:spacing w:val="54"/>
      <w:kern w:val="2"/>
      <w:sz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spacing w:line="360" w:lineRule="auto"/>
      <w:ind w:left="510" w:hanging="510"/>
      <w:jc w:val="both"/>
    </w:pPr>
    <w:rPr>
      <w:rFonts w:eastAsiaTheme="minorEastAsia" w:cs="Arial"/>
      <w:bCs/>
      <w:sz w:val="24"/>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pacing w:before="120" w:line="360" w:lineRule="auto"/>
      <w:jc w:val="center"/>
    </w:pPr>
    <w:rPr>
      <w:rFonts w:eastAsiaTheme="minorEastAsia"/>
      <w:b/>
      <w:bCs/>
      <w:sz w:val="24"/>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line="360" w:lineRule="auto"/>
      <w:jc w:val="center"/>
    </w:pPr>
    <w:rPr>
      <w:rFonts w:eastAsiaTheme="minorEastAsia" w:cs="Arial"/>
      <w:bCs/>
      <w:caps/>
      <w:kern w:val="2"/>
      <w:sz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pacing w:line="360" w:lineRule="auto"/>
      <w:ind w:left="510"/>
      <w:jc w:val="center"/>
    </w:pPr>
    <w:rPr>
      <w:sz w:val="24"/>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pacing w:line="360" w:lineRule="auto"/>
      <w:ind w:left="510"/>
      <w:jc w:val="center"/>
    </w:pPr>
    <w:rPr>
      <w:rFonts w:eastAsiaTheme="minorEastAsia" w:cs="Arial"/>
      <w:bCs/>
      <w:kern w:val="2"/>
      <w:sz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styleId="Tekstkomentarza">
    <w:name w:val="annotation text"/>
    <w:basedOn w:val="Normalny"/>
    <w:link w:val="TekstkomentarzaZnak"/>
    <w:uiPriority w:val="99"/>
    <w:semiHidden/>
    <w:qFormat/>
    <w:rsid w:val="00023F13"/>
    <w:rPr>
      <w:rFonts w:ascii="Times" w:eastAsia="Times New Roman" w:hAnsi="Times" w:cs="Times New Roman"/>
      <w:szCs w:val="24"/>
    </w:rPr>
  </w:style>
  <w:style w:type="paragraph" w:styleId="Tematkomentarza">
    <w:name w:val="annotation subject"/>
    <w:basedOn w:val="Tekstkomentarza"/>
    <w:next w:val="Tekstkomentarza"/>
    <w:link w:val="TematkomentarzaZnak"/>
    <w:uiPriority w:val="99"/>
    <w:semiHidden/>
    <w:qFormat/>
    <w:rsid w:val="00023F13"/>
    <w:rPr>
      <w:b/>
      <w:bCs/>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ind w:left="284" w:hanging="284"/>
      <w:jc w:val="both"/>
    </w:pPr>
    <w:rPr>
      <w:rFonts w:ascii="Times New Roman" w:eastAsiaTheme="minorEastAsia" w:hAnsi="Times New Roman" w:cs="Arial"/>
      <w:sz w:val="24"/>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pacing w:before="120" w:line="360" w:lineRule="auto"/>
      <w:jc w:val="center"/>
    </w:pPr>
    <w:rPr>
      <w:rFonts w:eastAsiaTheme="minorEastAsia" w:cs="Arial"/>
      <w:bCs/>
      <w:kern w:val="2"/>
      <w:sz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pacing w:before="120" w:line="360" w:lineRule="auto"/>
      <w:jc w:val="center"/>
    </w:pPr>
    <w:rPr>
      <w:b/>
      <w:sz w:val="24"/>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spacing w:line="360" w:lineRule="auto"/>
      <w:jc w:val="right"/>
    </w:pPr>
    <w:rPr>
      <w:rFonts w:ascii="Times New Roman" w:eastAsiaTheme="minorEastAsia" w:hAnsi="Times New Roman" w:cs="Arial"/>
      <w:sz w:val="24"/>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pPr>
      <w:spacing w:line="360" w:lineRule="auto"/>
    </w:pPr>
    <w:rPr>
      <w:rFonts w:ascii="Times New Roman" w:eastAsiaTheme="minorEastAsia" w:hAnsi="Times New Roman" w:cs="Arial"/>
      <w:b/>
      <w:sz w:val="24"/>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ind w:left="5670"/>
      <w:contextualSpacing/>
    </w:pPr>
    <w:rPr>
      <w:rFonts w:ascii="Times New Roman" w:eastAsiaTheme="minorEastAsia" w:hAnsi="Times New Roman" w:cs="Arial"/>
      <w:sz w:val="24"/>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paragraph" w:customStyle="1" w:styleId="ODNONIKSPECtreodnonikadoodnonika">
    <w:name w:val="ODNOŚNIK_SPEC – treść odnośnika do odnośnika"/>
    <w:basedOn w:val="Normalny"/>
    <w:uiPriority w:val="19"/>
    <w:qFormat/>
    <w:rsid w:val="00263522"/>
    <w:pPr>
      <w:widowControl/>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ind w:firstLine="510"/>
    </w:pPr>
    <w:rPr>
      <w:rFonts w:ascii="Times" w:hAnsi="Times"/>
      <w:bCs/>
      <w:kern w:val="2"/>
    </w:rPr>
  </w:style>
  <w:style w:type="paragraph" w:customStyle="1" w:styleId="TEKSTwTABELIWYRODKOWANYtekstwyrodkowanywpoziomie">
    <w:name w:val="TEKST_w_TABELI_WYŚRODKOWANY – tekst wyśrodkowany w poziomie"/>
    <w:basedOn w:val="Normalny"/>
    <w:uiPriority w:val="23"/>
    <w:qFormat/>
    <w:rsid w:val="007A789F"/>
    <w:pPr>
      <w:widowControl/>
      <w:jc w:val="center"/>
    </w:pPr>
    <w:rPr>
      <w:rFonts w:ascii="Times" w:hAnsi="Times"/>
      <w:bCs/>
      <w:kern w:val="2"/>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spacing w:line="360" w:lineRule="auto"/>
      <w:jc w:val="center"/>
    </w:pPr>
    <w:rPr>
      <w:rFonts w:ascii="Times New Roman" w:eastAsiaTheme="minorEastAsia" w:hAnsi="Times New Roman" w:cs="Arial"/>
      <w:sz w:val="24"/>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paragraph" w:styleId="Poprawka">
    <w:name w:val="Revision"/>
    <w:uiPriority w:val="99"/>
    <w:semiHidden/>
    <w:qFormat/>
    <w:rsid w:val="00DE695A"/>
    <w:rPr>
      <w:rFonts w:ascii="Times New Roman" w:eastAsiaTheme="minorEastAsia" w:hAnsi="Times New Roman" w:cs="Arial"/>
      <w:sz w:val="24"/>
      <w:szCs w:val="20"/>
    </w:rPr>
  </w:style>
  <w:style w:type="paragraph" w:styleId="HTML-wstpniesformatowany">
    <w:name w:val="HTML Preformatted"/>
    <w:basedOn w:val="Normalny"/>
    <w:uiPriority w:val="99"/>
    <w:unhideWhenUsed/>
    <w:qFormat/>
    <w:rsid w:val="002A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rPr>
  </w:style>
  <w:style w:type="paragraph" w:customStyle="1" w:styleId="Default">
    <w:name w:val="Default"/>
    <w:qFormat/>
    <w:rsid w:val="00B36CCE"/>
    <w:rPr>
      <w:rFonts w:ascii="Times New Roman" w:hAnsi="Times New Roman"/>
      <w:color w:val="000000"/>
      <w:sz w:val="24"/>
    </w:rPr>
  </w:style>
  <w:style w:type="paragraph" w:styleId="NormalnyWeb">
    <w:name w:val="Normal (Web)"/>
    <w:basedOn w:val="Normalny"/>
    <w:uiPriority w:val="99"/>
    <w:semiHidden/>
    <w:unhideWhenUsed/>
    <w:qFormat/>
    <w:rsid w:val="00F9345A"/>
    <w:pPr>
      <w:widowControl/>
      <w:suppressAutoHyphens w:val="0"/>
      <w:spacing w:beforeAutospacing="1" w:afterAutospacing="1" w:line="240" w:lineRule="auto"/>
    </w:pPr>
    <w:rPr>
      <w:rFonts w:eastAsia="Times New Roman" w:cs="Times New Roman"/>
      <w:szCs w:val="24"/>
    </w:rPr>
  </w:style>
  <w:style w:type="paragraph" w:customStyle="1" w:styleId="zustzmustartykuempunktem0">
    <w:name w:val="zustzmustartykuempunktem"/>
    <w:basedOn w:val="Normalny"/>
    <w:qFormat/>
    <w:rsid w:val="006214AA"/>
    <w:pPr>
      <w:widowControl/>
      <w:suppressAutoHyphens w:val="0"/>
      <w:spacing w:beforeAutospacing="1" w:afterAutospacing="1" w:line="240" w:lineRule="auto"/>
    </w:pPr>
    <w:rPr>
      <w:rFonts w:eastAsia="Times New Roman" w:cs="Times New Roman"/>
      <w:szCs w:val="24"/>
    </w:rPr>
  </w:style>
  <w:style w:type="paragraph" w:styleId="Akapitzlist">
    <w:name w:val="List Paragraph"/>
    <w:basedOn w:val="Normalny"/>
    <w:uiPriority w:val="34"/>
    <w:qFormat/>
    <w:rsid w:val="00951E54"/>
    <w:pPr>
      <w:widowControl/>
      <w:suppressAutoHyphens w:val="0"/>
      <w:spacing w:after="200" w:line="276" w:lineRule="auto"/>
      <w:ind w:left="720"/>
      <w:contextualSpacing/>
    </w:pPr>
    <w:rPr>
      <w:rFonts w:asciiTheme="minorHAnsi" w:hAnsiTheme="minorHAnsi" w:cstheme="minorBidi"/>
      <w:sz w:val="22"/>
      <w:szCs w:val="22"/>
    </w:rPr>
  </w:style>
  <w:style w:type="paragraph" w:customStyle="1" w:styleId="divparagraph">
    <w:name w:val="div.paragraph"/>
    <w:uiPriority w:val="99"/>
    <w:qFormat/>
    <w:rsid w:val="005A6B4C"/>
    <w:pPr>
      <w:widowControl w:val="0"/>
      <w:spacing w:line="40" w:lineRule="atLeast"/>
    </w:pPr>
    <w:rPr>
      <w:rFonts w:ascii="Helvetica" w:eastAsiaTheme="minorEastAsia" w:hAnsi="Helvetica" w:cs="Helvetica"/>
      <w:color w:val="000000"/>
      <w:kern w:val="2"/>
      <w:sz w:val="18"/>
      <w:szCs w:val="18"/>
      <w:lang w:eastAsia="zh-CN" w:bidi="hi-IN"/>
    </w:rPr>
  </w:style>
  <w:style w:type="table" w:styleId="Tabela-Siatka">
    <w:name w:val="Table Grid"/>
    <w:basedOn w:val="Standardowy"/>
    <w:rsid w:val="0019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1952B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jc w:val="left"/>
    </w:pPr>
    <w:tblP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C0B7CC-BD4D-43CC-805F-9F276993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3084</Words>
  <Characters>18504</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Akt prawny</vt:lpstr>
    </vt:vector>
  </TitlesOfParts>
  <Company>&lt;nazwa organu&gt;</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Bujalski Kamil</dc:creator>
  <dc:description/>
  <cp:lastModifiedBy>Domaracka Anna</cp:lastModifiedBy>
  <cp:revision>23</cp:revision>
  <cp:lastPrinted>2019-02-20T08:27:00Z</cp:lastPrinted>
  <dcterms:created xsi:type="dcterms:W3CDTF">2021-01-09T16:33:00Z</dcterms:created>
  <dcterms:modified xsi:type="dcterms:W3CDTF">2021-01-10T12:11:00Z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&lt;nazwa organu&gt;</vt:lpwstr>
  </property>
  <property fmtid="{D5CDD505-2E9C-101B-9397-08002B2CF9AE}" pid="4" name="Data og?oszenia">
    <vt:lpwstr>&lt;data ogłoszenia&gt;</vt:lpwstr>
  </property>
  <property fmtid="{D5CDD505-2E9C-101B-9397-08002B2CF9AE}" pid="5" name="Data wydania obwieszczenia">
    <vt:lpwstr>&lt;data wydania obwieszczenia&gt;</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category">
    <vt:lpwstr>000</vt:lpwstr>
  </property>
</Properties>
</file>